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BE2D" w14:textId="0F47026C" w:rsidR="001A6024" w:rsidRDefault="00260D17">
      <w:pPr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Détermination de</w:t>
      </w:r>
      <w:r w:rsidR="000E52B9">
        <w:rPr>
          <w:b/>
          <w:lang w:val="fr-FR"/>
        </w:rPr>
        <w:t xml:space="preserve"> la taille d’échantillon</w:t>
      </w:r>
    </w:p>
    <w:p w14:paraId="294AA994" w14:textId="77777777" w:rsidR="00790BCC" w:rsidRPr="00FA0B8A" w:rsidRDefault="00515CF3">
      <w:pPr>
        <w:rPr>
          <w:lang w:val="fr-FR"/>
        </w:rPr>
      </w:pPr>
      <w:r w:rsidRPr="00FA0B8A">
        <w:rPr>
          <w:lang w:val="fr-FR"/>
        </w:rPr>
        <w:t>Le calcul de la taille de l'échantillon a été effectué utilisant les paramètres au-dessous :</w:t>
      </w:r>
    </w:p>
    <w:p w14:paraId="30585574" w14:textId="77777777" w:rsidR="00790BCC" w:rsidRPr="00FA0B8A" w:rsidRDefault="00515CF3" w:rsidP="00515CF3">
      <w:pPr>
        <w:pStyle w:val="ListParagraph"/>
        <w:numPr>
          <w:ilvl w:val="0"/>
          <w:numId w:val="1"/>
        </w:numPr>
        <w:rPr>
          <w:lang w:val="fr-FR"/>
        </w:rPr>
      </w:pPr>
      <w:r w:rsidRPr="00FA0B8A">
        <w:rPr>
          <w:lang w:val="fr-FR"/>
        </w:rPr>
        <w:t>T</w:t>
      </w:r>
      <w:r w:rsidR="00790BCC" w:rsidRPr="00FA0B8A">
        <w:rPr>
          <w:lang w:val="fr-FR"/>
        </w:rPr>
        <w:t>aux de couverture estimé</w:t>
      </w:r>
      <w:r w:rsidRPr="00FA0B8A">
        <w:rPr>
          <w:lang w:val="fr-FR"/>
        </w:rPr>
        <w:t> : 80%</w:t>
      </w:r>
    </w:p>
    <w:p w14:paraId="47D30FF1" w14:textId="77777777" w:rsidR="00790BCC" w:rsidRPr="00FA0B8A" w:rsidRDefault="00515CF3" w:rsidP="00515CF3">
      <w:pPr>
        <w:pStyle w:val="ListParagraph"/>
        <w:numPr>
          <w:ilvl w:val="0"/>
          <w:numId w:val="1"/>
        </w:numPr>
        <w:rPr>
          <w:lang w:val="fr-FR"/>
        </w:rPr>
      </w:pPr>
      <w:r w:rsidRPr="00FA0B8A">
        <w:rPr>
          <w:lang w:val="fr-FR"/>
        </w:rPr>
        <w:t>M</w:t>
      </w:r>
      <w:r w:rsidR="00790BCC" w:rsidRPr="00FA0B8A">
        <w:rPr>
          <w:lang w:val="fr-FR"/>
        </w:rPr>
        <w:t>arge d’erreur (3%) ;</w:t>
      </w:r>
    </w:p>
    <w:p w14:paraId="0717715D" w14:textId="77777777" w:rsidR="00790BCC" w:rsidRPr="00FA0B8A" w:rsidRDefault="00515CF3" w:rsidP="00FA0B8A">
      <w:pPr>
        <w:pStyle w:val="ListParagraph"/>
        <w:numPr>
          <w:ilvl w:val="0"/>
          <w:numId w:val="1"/>
        </w:numPr>
        <w:rPr>
          <w:lang w:val="fr-FR"/>
        </w:rPr>
      </w:pPr>
      <w:r w:rsidRPr="00FA0B8A">
        <w:rPr>
          <w:lang w:val="fr-FR"/>
        </w:rPr>
        <w:t>N</w:t>
      </w:r>
      <w:r w:rsidR="00790BCC" w:rsidRPr="00FA0B8A">
        <w:rPr>
          <w:lang w:val="fr-FR"/>
        </w:rPr>
        <w:t xml:space="preserve">ombre de </w:t>
      </w:r>
      <w:r w:rsidRPr="00FA0B8A">
        <w:rPr>
          <w:lang w:val="fr-FR"/>
        </w:rPr>
        <w:t>concessions dans chaque grappe : 10</w:t>
      </w:r>
    </w:p>
    <w:p w14:paraId="2964A3F9" w14:textId="77777777" w:rsidR="00790BCC" w:rsidRPr="00FA0B8A" w:rsidRDefault="00515CF3" w:rsidP="00FA0B8A">
      <w:pPr>
        <w:pStyle w:val="ListParagraph"/>
        <w:numPr>
          <w:ilvl w:val="0"/>
          <w:numId w:val="1"/>
        </w:numPr>
        <w:rPr>
          <w:lang w:val="fr-FR"/>
        </w:rPr>
      </w:pPr>
      <w:r w:rsidRPr="00FA0B8A">
        <w:rPr>
          <w:lang w:val="fr-FR"/>
        </w:rPr>
        <w:t xml:space="preserve">Corrélation </w:t>
      </w:r>
      <w:proofErr w:type="spellStart"/>
      <w:r w:rsidRPr="00FA0B8A">
        <w:rPr>
          <w:lang w:val="fr-FR"/>
        </w:rPr>
        <w:t>intercluster</w:t>
      </w:r>
      <w:proofErr w:type="spellEnd"/>
      <w:r w:rsidRPr="00FA0B8A">
        <w:rPr>
          <w:lang w:val="fr-FR"/>
        </w:rPr>
        <w:t> : 0.2</w:t>
      </w:r>
    </w:p>
    <w:p w14:paraId="14F36139" w14:textId="77777777" w:rsidR="00FA0B8A" w:rsidRPr="00FA0B8A" w:rsidRDefault="00FA0B8A" w:rsidP="00FA0B8A">
      <w:pPr>
        <w:pStyle w:val="ListParagraph"/>
        <w:numPr>
          <w:ilvl w:val="0"/>
          <w:numId w:val="1"/>
        </w:numPr>
        <w:rPr>
          <w:lang w:val="fr-FR"/>
        </w:rPr>
      </w:pPr>
      <w:r w:rsidRPr="00FA0B8A">
        <w:rPr>
          <w:lang w:val="fr-FR"/>
        </w:rPr>
        <w:t>Taux de non-réponse : 5%</w:t>
      </w:r>
    </w:p>
    <w:p w14:paraId="57E59269" w14:textId="77777777" w:rsidR="00515CF3" w:rsidRPr="00FA0B8A" w:rsidRDefault="00515CF3" w:rsidP="00FA0B8A">
      <w:pPr>
        <w:pStyle w:val="ListParagraph"/>
        <w:numPr>
          <w:ilvl w:val="0"/>
          <w:numId w:val="1"/>
        </w:numPr>
        <w:rPr>
          <w:lang w:val="fr-FR"/>
        </w:rPr>
      </w:pPr>
      <w:r w:rsidRPr="00FA0B8A">
        <w:rPr>
          <w:lang w:val="fr-FR"/>
        </w:rPr>
        <w:t>Sans correction de population finie</w:t>
      </w:r>
    </w:p>
    <w:p w14:paraId="1D2EA3A8" w14:textId="77777777" w:rsidR="00515CF3" w:rsidRPr="00FA0B8A" w:rsidRDefault="00515CF3" w:rsidP="00790BCC">
      <w:pPr>
        <w:rPr>
          <w:b/>
          <w:lang w:val="fr-FR"/>
        </w:rPr>
      </w:pPr>
    </w:p>
    <w:p w14:paraId="214931E2" w14:textId="77777777" w:rsidR="00790BCC" w:rsidRPr="00515CF3" w:rsidRDefault="00515CF3">
      <w:pPr>
        <w:rPr>
          <w:lang w:val="fr-FR"/>
        </w:rPr>
      </w:pPr>
      <w:r w:rsidRPr="00FA0B8A">
        <w:rPr>
          <w:lang w:val="fr-FR"/>
        </w:rPr>
        <w:t xml:space="preserve">Selon le calcul de la taille de l'échantillon, un </w:t>
      </w:r>
      <w:proofErr w:type="spellStart"/>
      <w:r w:rsidRPr="00FA0B8A">
        <w:rPr>
          <w:lang w:val="fr-FR"/>
        </w:rPr>
        <w:t>echantillon</w:t>
      </w:r>
      <w:proofErr w:type="spellEnd"/>
      <w:r w:rsidRPr="00FA0B8A">
        <w:rPr>
          <w:lang w:val="fr-FR"/>
        </w:rPr>
        <w:t xml:space="preserve"> de 2,000 concessions, </w:t>
      </w:r>
      <w:r w:rsidR="003E1B9D" w:rsidRPr="00FA0B8A">
        <w:rPr>
          <w:lang w:val="fr-FR"/>
        </w:rPr>
        <w:t>répartis</w:t>
      </w:r>
      <w:r w:rsidRPr="00FA0B8A">
        <w:rPr>
          <w:lang w:val="fr-FR"/>
        </w:rPr>
        <w:t xml:space="preserve"> dans 200 grappes</w:t>
      </w:r>
      <w:r w:rsidR="00FA0B8A">
        <w:rPr>
          <w:lang w:val="fr-FR"/>
        </w:rPr>
        <w:t xml:space="preserve"> (de 10 concessions)</w:t>
      </w:r>
      <w:r w:rsidRPr="00FA0B8A">
        <w:rPr>
          <w:lang w:val="fr-FR"/>
        </w:rPr>
        <w:t>, est recommandé</w:t>
      </w:r>
      <w:r>
        <w:rPr>
          <w:lang w:val="fr-FR"/>
        </w:rPr>
        <w:t>.</w:t>
      </w:r>
    </w:p>
    <w:p w14:paraId="100B7A61" w14:textId="77777777" w:rsidR="000E52B9" w:rsidRDefault="000E52B9">
      <w:pPr>
        <w:rPr>
          <w:b/>
          <w:lang w:val="fr-FR"/>
        </w:rPr>
      </w:pPr>
    </w:p>
    <w:p w14:paraId="23629576" w14:textId="323495F8" w:rsidR="000E52B9" w:rsidRDefault="00260D17">
      <w:pPr>
        <w:rPr>
          <w:b/>
          <w:lang w:val="fr-FR"/>
        </w:rPr>
      </w:pPr>
      <w:r>
        <w:rPr>
          <w:b/>
          <w:lang w:val="fr-FR"/>
        </w:rPr>
        <w:t xml:space="preserve">Explication </w:t>
      </w:r>
      <w:r w:rsidR="000E52B9">
        <w:rPr>
          <w:b/>
          <w:lang w:val="fr-FR"/>
        </w:rPr>
        <w:t>sur le processus d’échantillon</w:t>
      </w:r>
    </w:p>
    <w:p w14:paraId="180C8884" w14:textId="77777777" w:rsidR="000E52B9" w:rsidRPr="00790BCC" w:rsidRDefault="00FA0B8A">
      <w:pPr>
        <w:rPr>
          <w:lang w:val="fr-FR"/>
        </w:rPr>
      </w:pPr>
      <w:r>
        <w:rPr>
          <w:lang w:val="fr-FR"/>
        </w:rPr>
        <w:t xml:space="preserve">La météorologie d’échantillonnage vise une sélection de concessions (et enfants éligibles) représentative </w:t>
      </w:r>
      <w:proofErr w:type="gramStart"/>
      <w:r>
        <w:rPr>
          <w:lang w:val="fr-FR"/>
        </w:rPr>
        <w:t>de la population ciblé</w:t>
      </w:r>
      <w:proofErr w:type="gramEnd"/>
      <w:r>
        <w:rPr>
          <w:lang w:val="fr-FR"/>
        </w:rPr>
        <w:t xml:space="preserve"> par le programme CPS au Togo. La sélection de grappes (chacun dans un site comprenant un zone peuplée (village, commune)) est </w:t>
      </w:r>
      <w:proofErr w:type="spellStart"/>
      <w:r>
        <w:rPr>
          <w:lang w:val="fr-FR"/>
        </w:rPr>
        <w:t>effectue</w:t>
      </w:r>
      <w:proofErr w:type="spellEnd"/>
      <w:r>
        <w:rPr>
          <w:lang w:val="fr-FR"/>
        </w:rPr>
        <w:t xml:space="preserve"> </w:t>
      </w:r>
      <w:r w:rsidRPr="00FA0B8A">
        <w:rPr>
          <w:lang w:val="fr-FR"/>
        </w:rPr>
        <w:t>avec</w:t>
      </w:r>
      <w:r>
        <w:rPr>
          <w:lang w:val="fr-FR"/>
        </w:rPr>
        <w:t xml:space="preserve"> probabilité proportionnelle à sa population.</w:t>
      </w:r>
      <w:r w:rsidRPr="00FA0B8A">
        <w:rPr>
          <w:lang w:val="fr-FR"/>
        </w:rPr>
        <w:t xml:space="preserve"> </w:t>
      </w:r>
      <w:r>
        <w:rPr>
          <w:lang w:val="fr-FR"/>
        </w:rPr>
        <w:t>L</w:t>
      </w:r>
      <w:r w:rsidRPr="00FA0B8A">
        <w:rPr>
          <w:lang w:val="fr-FR"/>
        </w:rPr>
        <w:t>a sélection se fait en une seule phase sans stratification</w:t>
      </w:r>
      <w:r>
        <w:rPr>
          <w:lang w:val="fr-FR"/>
        </w:rPr>
        <w:t>. Dans chaque grappe, 10 concessions sont sélectionnées dans une façon aléatoire adaptée à conditions locales.</w:t>
      </w:r>
    </w:p>
    <w:p w14:paraId="33DDEFB8" w14:textId="77777777" w:rsidR="000E52B9" w:rsidRDefault="000E52B9">
      <w:pPr>
        <w:rPr>
          <w:b/>
          <w:lang w:val="fr-FR"/>
        </w:rPr>
      </w:pPr>
    </w:p>
    <w:p w14:paraId="64422F6C" w14:textId="77777777" w:rsidR="000E52B9" w:rsidRDefault="000E52B9">
      <w:pPr>
        <w:rPr>
          <w:b/>
          <w:lang w:val="fr-FR"/>
        </w:rPr>
      </w:pPr>
      <w:r>
        <w:rPr>
          <w:b/>
          <w:lang w:val="fr-FR"/>
        </w:rPr>
        <w:t>Grappes sélectionnées</w:t>
      </w:r>
    </w:p>
    <w:p w14:paraId="5A222A4F" w14:textId="77777777" w:rsidR="00642E30" w:rsidRPr="00FA0B8A" w:rsidRDefault="00FA0B8A" w:rsidP="00642E30">
      <w:pPr>
        <w:rPr>
          <w:lang w:val="fr-FR"/>
        </w:rPr>
      </w:pPr>
      <w:r>
        <w:rPr>
          <w:lang w:val="fr-FR"/>
        </w:rPr>
        <w:t>E</w:t>
      </w:r>
      <w:r w:rsidRPr="00FA0B8A">
        <w:rPr>
          <w:lang w:val="fr-FR"/>
        </w:rPr>
        <w:t>n utilisant la feuille de calcul ci-jointe</w:t>
      </w:r>
      <w:r>
        <w:rPr>
          <w:lang w:val="fr-FR"/>
        </w:rPr>
        <w:t xml:space="preserve">, un numéro est </w:t>
      </w:r>
      <w:r w:rsidR="00642E30">
        <w:rPr>
          <w:lang w:val="fr-FR"/>
        </w:rPr>
        <w:t>généré</w:t>
      </w:r>
      <w:r>
        <w:rPr>
          <w:lang w:val="fr-FR"/>
        </w:rPr>
        <w:t xml:space="preserve"> </w:t>
      </w:r>
      <w:r w:rsidR="00642E30">
        <w:rPr>
          <w:lang w:val="fr-FR"/>
        </w:rPr>
        <w:t>aléatoirement</w:t>
      </w:r>
      <w:r>
        <w:rPr>
          <w:lang w:val="fr-FR"/>
        </w:rPr>
        <w:t>.</w:t>
      </w:r>
      <w:r w:rsidR="00257447">
        <w:rPr>
          <w:lang w:val="fr-FR"/>
        </w:rPr>
        <w:t xml:space="preserve"> Les formules dans le </w:t>
      </w:r>
      <w:proofErr w:type="gramStart"/>
      <w:r w:rsidR="00257447">
        <w:rPr>
          <w:lang w:val="fr-FR"/>
        </w:rPr>
        <w:t>fichier</w:t>
      </w:r>
      <w:proofErr w:type="gramEnd"/>
      <w:r w:rsidR="00257447">
        <w:rPr>
          <w:lang w:val="fr-FR"/>
        </w:rPr>
        <w:t xml:space="preserve"> sélectionnent au moins 200 grappes, </w:t>
      </w:r>
      <w:r w:rsidR="00257447" w:rsidRPr="00257447">
        <w:rPr>
          <w:lang w:val="fr-FR"/>
        </w:rPr>
        <w:t>basé sur ce n</w:t>
      </w:r>
      <w:r w:rsidR="00257447">
        <w:rPr>
          <w:lang w:val="fr-FR"/>
        </w:rPr>
        <w:t xml:space="preserve">uméro. Malaria Consortium </w:t>
      </w:r>
      <w:r w:rsidR="00257447">
        <w:rPr>
          <w:lang w:val="fr-FR"/>
        </w:rPr>
        <w:lastRenderedPageBreak/>
        <w:t>fournira une lis</w:t>
      </w:r>
      <w:r w:rsidR="00642E30">
        <w:rPr>
          <w:lang w:val="fr-FR"/>
        </w:rPr>
        <w:t>t</w:t>
      </w:r>
      <w:r w:rsidR="00257447">
        <w:rPr>
          <w:lang w:val="fr-FR"/>
        </w:rPr>
        <w:t xml:space="preserve">e de sites, dans lesquelles les collecteurs de données sont </w:t>
      </w:r>
      <w:r w:rsidR="00257447" w:rsidRPr="00257447">
        <w:rPr>
          <w:lang w:val="fr-FR"/>
        </w:rPr>
        <w:t>dirigés pour échantillonner</w:t>
      </w:r>
      <w:r w:rsidR="00642E30">
        <w:rPr>
          <w:lang w:val="fr-FR"/>
        </w:rPr>
        <w:t xml:space="preserve"> 10 concessions.</w:t>
      </w:r>
    </w:p>
    <w:p w14:paraId="6BBDFE00" w14:textId="77777777" w:rsidR="000E52B9" w:rsidRDefault="000E52B9">
      <w:pPr>
        <w:rPr>
          <w:b/>
          <w:lang w:val="fr-FR"/>
        </w:rPr>
      </w:pPr>
    </w:p>
    <w:p w14:paraId="72C63604" w14:textId="77777777" w:rsidR="000E52B9" w:rsidRDefault="000E52B9">
      <w:pPr>
        <w:rPr>
          <w:b/>
          <w:lang w:val="fr-FR"/>
        </w:rPr>
      </w:pPr>
      <w:r>
        <w:rPr>
          <w:b/>
          <w:lang w:val="fr-FR"/>
        </w:rPr>
        <w:t>Formulaires de sondage et logiciel de collection de données</w:t>
      </w:r>
    </w:p>
    <w:p w14:paraId="39132693" w14:textId="7589C212" w:rsidR="0086712C" w:rsidRDefault="000E52B9">
      <w:pPr>
        <w:rPr>
          <w:lang w:val="fr-FR"/>
        </w:rPr>
      </w:pPr>
      <w:r>
        <w:rPr>
          <w:lang w:val="fr-FR"/>
        </w:rPr>
        <w:t xml:space="preserve">Un formulaire sera fourni par Malaria Consortium au moins deux semaines avant le </w:t>
      </w:r>
      <w:r w:rsidR="0086712C">
        <w:rPr>
          <w:lang w:val="fr-FR"/>
        </w:rPr>
        <w:t>début</w:t>
      </w:r>
      <w:r>
        <w:rPr>
          <w:lang w:val="fr-FR"/>
        </w:rPr>
        <w:t xml:space="preserve"> de l’enquête. Le logiciel </w:t>
      </w:r>
      <w:proofErr w:type="spellStart"/>
      <w:r>
        <w:rPr>
          <w:lang w:val="fr-FR"/>
        </w:rPr>
        <w:t>SurveyCTO</w:t>
      </w:r>
      <w:proofErr w:type="spellEnd"/>
      <w:r>
        <w:rPr>
          <w:lang w:val="fr-FR"/>
        </w:rPr>
        <w:t xml:space="preserve"> est utilisé pour faciliter </w:t>
      </w:r>
      <w:r w:rsidR="003E1B9D">
        <w:rPr>
          <w:lang w:val="fr-FR"/>
        </w:rPr>
        <w:t>la capture</w:t>
      </w:r>
      <w:r>
        <w:rPr>
          <w:lang w:val="fr-FR"/>
        </w:rPr>
        <w:t xml:space="preserve"> de données par</w:t>
      </w:r>
      <w:r w:rsidR="0086712C">
        <w:rPr>
          <w:lang w:val="fr-FR"/>
        </w:rPr>
        <w:t xml:space="preserve"> </w:t>
      </w:r>
      <w:r>
        <w:rPr>
          <w:lang w:val="fr-FR"/>
        </w:rPr>
        <w:t>appareil</w:t>
      </w:r>
      <w:r w:rsidR="0086712C">
        <w:rPr>
          <w:lang w:val="fr-FR"/>
        </w:rPr>
        <w:t>s</w:t>
      </w:r>
      <w:r>
        <w:rPr>
          <w:lang w:val="fr-FR"/>
        </w:rPr>
        <w:t xml:space="preserve"> smartphone</w:t>
      </w:r>
      <w:r w:rsidR="0086712C">
        <w:rPr>
          <w:lang w:val="fr-FR"/>
        </w:rPr>
        <w:t xml:space="preserve"> (fournis par Malaria Consortium ou également par le </w:t>
      </w:r>
      <w:r w:rsidR="00942EDD">
        <w:rPr>
          <w:lang w:val="fr-FR"/>
        </w:rPr>
        <w:t xml:space="preserve">cabinet </w:t>
      </w:r>
      <w:r w:rsidR="0086712C">
        <w:rPr>
          <w:lang w:val="fr-FR"/>
        </w:rPr>
        <w:t xml:space="preserve">selon </w:t>
      </w:r>
      <w:r w:rsidR="00942EDD">
        <w:rPr>
          <w:lang w:val="fr-FR"/>
        </w:rPr>
        <w:t xml:space="preserve">sa </w:t>
      </w:r>
      <w:r w:rsidR="0086712C">
        <w:rPr>
          <w:lang w:val="fr-FR"/>
        </w:rPr>
        <w:t xml:space="preserve">préférence). Malaria Consortium soutiendra la formation des collecteurs de données. Malaria Consortium aussi fournira les mot-passes et permissions pertinents pour faciliter l’utilisation de </w:t>
      </w:r>
      <w:proofErr w:type="spellStart"/>
      <w:r w:rsidR="0086712C">
        <w:rPr>
          <w:lang w:val="fr-FR"/>
        </w:rPr>
        <w:t>SurveyCTO</w:t>
      </w:r>
      <w:proofErr w:type="spellEnd"/>
      <w:r w:rsidR="0086712C">
        <w:rPr>
          <w:lang w:val="fr-FR"/>
        </w:rPr>
        <w:t xml:space="preserve"> par les collecteurs de données et les </w:t>
      </w:r>
      <w:r w:rsidR="00942EDD">
        <w:rPr>
          <w:lang w:val="fr-FR"/>
        </w:rPr>
        <w:t xml:space="preserve">superviseurs </w:t>
      </w:r>
      <w:r w:rsidR="0086712C">
        <w:rPr>
          <w:lang w:val="fr-FR"/>
        </w:rPr>
        <w:t>de l’enquête. Les données sont télécharg</w:t>
      </w:r>
      <w:r w:rsidR="00942EDD">
        <w:rPr>
          <w:lang w:val="fr-FR"/>
        </w:rPr>
        <w:t>ée</w:t>
      </w:r>
      <w:r w:rsidR="0086712C">
        <w:rPr>
          <w:lang w:val="fr-FR"/>
        </w:rPr>
        <w:t xml:space="preserve">s </w:t>
      </w:r>
      <w:r w:rsidR="0086712C" w:rsidRPr="0086712C">
        <w:rPr>
          <w:lang w:val="fr-FR"/>
        </w:rPr>
        <w:t>quotidiennement</w:t>
      </w:r>
      <w:r w:rsidR="0086712C">
        <w:rPr>
          <w:lang w:val="fr-FR"/>
        </w:rPr>
        <w:t xml:space="preserve"> par </w:t>
      </w:r>
      <w:proofErr w:type="spellStart"/>
      <w:r w:rsidR="0086712C">
        <w:rPr>
          <w:lang w:val="fr-FR"/>
        </w:rPr>
        <w:t>WiFi</w:t>
      </w:r>
      <w:proofErr w:type="spellEnd"/>
      <w:r w:rsidR="0086712C">
        <w:rPr>
          <w:lang w:val="fr-FR"/>
        </w:rPr>
        <w:t xml:space="preserve"> (si disponible) après capture de données.</w:t>
      </w:r>
    </w:p>
    <w:p w14:paraId="2EBB9744" w14:textId="27D42E54" w:rsidR="000E52B9" w:rsidRDefault="0086712C">
      <w:pPr>
        <w:rPr>
          <w:lang w:val="fr-FR"/>
        </w:rPr>
      </w:pPr>
      <w:r>
        <w:rPr>
          <w:lang w:val="fr-FR"/>
        </w:rPr>
        <w:t>Apr</w:t>
      </w:r>
      <w:r w:rsidR="00942EDD">
        <w:rPr>
          <w:lang w:val="fr-FR"/>
        </w:rPr>
        <w:t>è</w:t>
      </w:r>
      <w:r>
        <w:rPr>
          <w:lang w:val="fr-FR"/>
        </w:rPr>
        <w:t>s l’obtention d</w:t>
      </w:r>
      <w:r w:rsidR="00942EDD">
        <w:rPr>
          <w:lang w:val="fr-FR"/>
        </w:rPr>
        <w:t>u</w:t>
      </w:r>
      <w:r>
        <w:rPr>
          <w:lang w:val="fr-FR"/>
        </w:rPr>
        <w:t xml:space="preserve"> consentement </w:t>
      </w:r>
      <w:r w:rsidR="00942EDD">
        <w:rPr>
          <w:lang w:val="fr-FR"/>
        </w:rPr>
        <w:t>du chef de ménage ou son représentant</w:t>
      </w:r>
      <w:r>
        <w:rPr>
          <w:lang w:val="fr-FR"/>
        </w:rPr>
        <w:t>, le</w:t>
      </w:r>
      <w:r w:rsidR="00942EDD">
        <w:rPr>
          <w:lang w:val="fr-FR"/>
        </w:rPr>
        <w:t>s collecteurs procéderont à</w:t>
      </w:r>
      <w:r>
        <w:rPr>
          <w:lang w:val="fr-FR"/>
        </w:rPr>
        <w:t xml:space="preserve"> </w:t>
      </w:r>
      <w:r w:rsidRPr="0086712C">
        <w:rPr>
          <w:lang w:val="fr-FR"/>
        </w:rPr>
        <w:t xml:space="preserve">l'administration du questionnaire </w:t>
      </w:r>
      <w:r w:rsidR="00942EDD">
        <w:rPr>
          <w:lang w:val="fr-FR"/>
        </w:rPr>
        <w:t xml:space="preserve">qui </w:t>
      </w:r>
      <w:r w:rsidRPr="0086712C">
        <w:rPr>
          <w:lang w:val="fr-FR"/>
        </w:rPr>
        <w:t xml:space="preserve">durera </w:t>
      </w:r>
      <w:r w:rsidR="00AF113C">
        <w:rPr>
          <w:lang w:val="fr-FR"/>
        </w:rPr>
        <w:t>environ 40</w:t>
      </w:r>
      <w:r w:rsidRPr="0086712C">
        <w:rPr>
          <w:lang w:val="fr-FR"/>
        </w:rPr>
        <w:t xml:space="preserve"> minutes</w:t>
      </w:r>
      <w:r>
        <w:rPr>
          <w:lang w:val="fr-FR"/>
        </w:rPr>
        <w:t xml:space="preserve">. </w:t>
      </w:r>
    </w:p>
    <w:p w14:paraId="6DA6D894" w14:textId="77777777" w:rsidR="00257447" w:rsidRDefault="00257447">
      <w:pPr>
        <w:rPr>
          <w:lang w:val="fr-FR"/>
        </w:rPr>
      </w:pPr>
    </w:p>
    <w:p w14:paraId="34CF8D8B" w14:textId="77777777" w:rsidR="00257447" w:rsidRPr="00257447" w:rsidRDefault="00257447">
      <w:pPr>
        <w:rPr>
          <w:b/>
          <w:lang w:val="fr-FR"/>
        </w:rPr>
      </w:pPr>
      <w:r w:rsidRPr="00257447">
        <w:rPr>
          <w:b/>
          <w:lang w:val="fr-FR"/>
        </w:rPr>
        <w:t>Contenu de formulaire</w:t>
      </w:r>
    </w:p>
    <w:p w14:paraId="1975D701" w14:textId="77777777" w:rsidR="00257447" w:rsidRPr="00642E30" w:rsidRDefault="00257447">
      <w:pPr>
        <w:rPr>
          <w:u w:val="single"/>
          <w:lang w:val="fr-FR"/>
        </w:rPr>
      </w:pPr>
      <w:r w:rsidRPr="00642E30">
        <w:rPr>
          <w:u w:val="single"/>
          <w:lang w:val="fr-FR"/>
        </w:rPr>
        <w:t>Le formulaire contient des questions sur les indicateurs suivants</w:t>
      </w:r>
      <w:r w:rsidR="00642E30">
        <w:rPr>
          <w:u w:val="single"/>
          <w:lang w:val="fr-FR"/>
        </w:rPr>
        <w:t xml:space="preserve"> (liste non-exhaustive)</w:t>
      </w:r>
      <w:r w:rsidRPr="00642E30">
        <w:rPr>
          <w:u w:val="single"/>
          <w:lang w:val="fr-FR"/>
        </w:rPr>
        <w:t> :</w:t>
      </w:r>
    </w:p>
    <w:p w14:paraId="58C5FC1B" w14:textId="77777777" w:rsidR="00B3068C" w:rsidRPr="00B3068C" w:rsidRDefault="00B3068C" w:rsidP="00B3068C">
      <w:pPr>
        <w:rPr>
          <w:lang w:val="fr-FR"/>
        </w:rPr>
      </w:pPr>
      <w:r w:rsidRPr="00B3068C">
        <w:rPr>
          <w:lang w:val="fr-FR"/>
        </w:rPr>
        <w:t xml:space="preserve">• Couverture de l'enquête </w:t>
      </w:r>
      <w:r w:rsidR="00642E30">
        <w:rPr>
          <w:lang w:val="fr-FR"/>
        </w:rPr>
        <w:t>CPS</w:t>
      </w:r>
      <w:r w:rsidRPr="00B3068C">
        <w:rPr>
          <w:lang w:val="fr-FR"/>
        </w:rPr>
        <w:t xml:space="preserve">: proportion d'enfants éligibles traités avec </w:t>
      </w:r>
      <w:r w:rsidR="00642E30">
        <w:rPr>
          <w:lang w:val="fr-FR"/>
        </w:rPr>
        <w:t>CPS</w:t>
      </w:r>
      <w:r w:rsidRPr="00B3068C">
        <w:rPr>
          <w:lang w:val="fr-FR"/>
        </w:rPr>
        <w:t xml:space="preserve"> parmi le </w:t>
      </w:r>
      <w:r w:rsidR="00942EDD">
        <w:rPr>
          <w:lang w:val="fr-FR"/>
        </w:rPr>
        <w:t xml:space="preserve">nombre </w:t>
      </w:r>
      <w:r w:rsidRPr="00B3068C">
        <w:rPr>
          <w:lang w:val="fr-FR"/>
        </w:rPr>
        <w:t xml:space="preserve">total </w:t>
      </w:r>
      <w:r w:rsidR="00942EDD">
        <w:rPr>
          <w:lang w:val="fr-FR"/>
        </w:rPr>
        <w:t xml:space="preserve">d’enfants </w:t>
      </w:r>
      <w:r w:rsidRPr="00B3068C">
        <w:rPr>
          <w:lang w:val="fr-FR"/>
        </w:rPr>
        <w:t>échantillonné</w:t>
      </w:r>
      <w:r w:rsidR="00942EDD">
        <w:rPr>
          <w:lang w:val="fr-FR"/>
        </w:rPr>
        <w:t>s</w:t>
      </w:r>
      <w:r w:rsidRPr="00B3068C">
        <w:rPr>
          <w:lang w:val="fr-FR"/>
        </w:rPr>
        <w:t xml:space="preserve"> pour l'enquête</w:t>
      </w:r>
    </w:p>
    <w:p w14:paraId="3E65813C" w14:textId="77777777" w:rsidR="00B3068C" w:rsidRPr="00B3068C" w:rsidRDefault="00B3068C" w:rsidP="00B3068C">
      <w:pPr>
        <w:rPr>
          <w:lang w:val="fr-FR"/>
        </w:rPr>
      </w:pPr>
      <w:r w:rsidRPr="00B3068C">
        <w:rPr>
          <w:lang w:val="fr-FR"/>
        </w:rPr>
        <w:t>• Couverture des ménages: proportion de ménages avec un ou plusieurs enfants éligibles traités parmi les ménages éligibles</w:t>
      </w:r>
    </w:p>
    <w:p w14:paraId="571BA413" w14:textId="12022336" w:rsidR="00B3068C" w:rsidRPr="00B3068C" w:rsidRDefault="00B3068C" w:rsidP="00B3068C">
      <w:pPr>
        <w:rPr>
          <w:lang w:val="fr-FR"/>
        </w:rPr>
      </w:pPr>
      <w:r w:rsidRPr="00B3068C">
        <w:rPr>
          <w:lang w:val="fr-FR"/>
        </w:rPr>
        <w:t xml:space="preserve">• Couverture </w:t>
      </w:r>
      <w:r>
        <w:rPr>
          <w:lang w:val="fr-FR"/>
        </w:rPr>
        <w:t>des concessions</w:t>
      </w:r>
      <w:r w:rsidRPr="00B3068C">
        <w:rPr>
          <w:lang w:val="fr-FR"/>
        </w:rPr>
        <w:t xml:space="preserve">: proportion de </w:t>
      </w:r>
      <w:proofErr w:type="gramStart"/>
      <w:r w:rsidRPr="00B3068C">
        <w:rPr>
          <w:lang w:val="fr-FR"/>
        </w:rPr>
        <w:t xml:space="preserve">composés </w:t>
      </w:r>
      <w:r w:rsidR="00A666A4">
        <w:rPr>
          <w:lang w:val="fr-FR"/>
        </w:rPr>
        <w:t xml:space="preserve"> </w:t>
      </w:r>
      <w:r w:rsidRPr="00B3068C">
        <w:rPr>
          <w:lang w:val="fr-FR"/>
        </w:rPr>
        <w:t>avec</w:t>
      </w:r>
      <w:proofErr w:type="gramEnd"/>
      <w:r w:rsidRPr="00B3068C">
        <w:rPr>
          <w:lang w:val="fr-FR"/>
        </w:rPr>
        <w:t xml:space="preserve"> un ou plusieurs enfants éligibles traités parmi les composés éligibles visités</w:t>
      </w:r>
    </w:p>
    <w:p w14:paraId="5A725F77" w14:textId="77777777" w:rsidR="00257447" w:rsidRDefault="00B3068C" w:rsidP="00B3068C">
      <w:pPr>
        <w:rPr>
          <w:lang w:val="fr-FR"/>
        </w:rPr>
      </w:pPr>
      <w:r w:rsidRPr="00B3068C">
        <w:rPr>
          <w:lang w:val="fr-FR"/>
        </w:rPr>
        <w:lastRenderedPageBreak/>
        <w:t>• Couverture au sein du ménage: proportion d'enfants éligibles traités dans le ménage parmi les enfants éligibles du ménage</w:t>
      </w:r>
    </w:p>
    <w:p w14:paraId="70C54E04" w14:textId="5D2D79EA" w:rsidR="00B3068C" w:rsidRPr="00B3068C" w:rsidRDefault="00642E30" w:rsidP="00B3068C">
      <w:pPr>
        <w:rPr>
          <w:lang w:val="fr-FR"/>
        </w:rPr>
      </w:pPr>
      <w:r>
        <w:rPr>
          <w:lang w:val="fr-FR"/>
        </w:rPr>
        <w:t>• Rétention des plaquettes</w:t>
      </w:r>
      <w:r w:rsidR="00B3068C" w:rsidRPr="00B3068C">
        <w:rPr>
          <w:lang w:val="fr-FR"/>
        </w:rPr>
        <w:t xml:space="preserve">: proportion des ménages où les </w:t>
      </w:r>
      <w:r w:rsidR="00942EDD">
        <w:rPr>
          <w:lang w:val="fr-FR"/>
        </w:rPr>
        <w:t>plaquettes</w:t>
      </w:r>
      <w:r w:rsidR="00942EDD" w:rsidRPr="00B3068C">
        <w:rPr>
          <w:lang w:val="fr-FR"/>
        </w:rPr>
        <w:t xml:space="preserve"> </w:t>
      </w:r>
      <w:r w:rsidR="00B3068C" w:rsidRPr="00B3068C">
        <w:rPr>
          <w:lang w:val="fr-FR"/>
        </w:rPr>
        <w:t>sont conservées parmi les ménages éligibles</w:t>
      </w:r>
    </w:p>
    <w:p w14:paraId="5C4EDDF9" w14:textId="34AAEAF0" w:rsidR="00B3068C" w:rsidRPr="00B3068C" w:rsidRDefault="00B3068C" w:rsidP="00B3068C">
      <w:pPr>
        <w:rPr>
          <w:lang w:val="fr-FR"/>
        </w:rPr>
      </w:pPr>
      <w:r w:rsidRPr="00B3068C">
        <w:rPr>
          <w:lang w:val="fr-FR"/>
        </w:rPr>
        <w:t xml:space="preserve">• Enfants traités avec SP + AQ le jour 1 du cycle et supervisés (DOT): proportion d'enfants éligibles traités pour lesquels </w:t>
      </w:r>
      <w:r w:rsidR="005B18CD">
        <w:rPr>
          <w:lang w:val="fr-FR"/>
        </w:rPr>
        <w:t>l’administration</w:t>
      </w:r>
      <w:r w:rsidR="005B18CD" w:rsidRPr="00B3068C">
        <w:rPr>
          <w:lang w:val="fr-FR"/>
        </w:rPr>
        <w:t xml:space="preserve"> </w:t>
      </w:r>
      <w:r w:rsidRPr="00B3068C">
        <w:rPr>
          <w:lang w:val="fr-FR"/>
        </w:rPr>
        <w:t>a été supervisé</w:t>
      </w:r>
      <w:r w:rsidR="005B18CD">
        <w:rPr>
          <w:lang w:val="fr-FR"/>
        </w:rPr>
        <w:t>e</w:t>
      </w:r>
      <w:r w:rsidRPr="00B3068C">
        <w:rPr>
          <w:lang w:val="fr-FR"/>
        </w:rPr>
        <w:t xml:space="preserve"> parmi le total des enfants éligibles traités</w:t>
      </w:r>
    </w:p>
    <w:p w14:paraId="58A6704C" w14:textId="358D3B21" w:rsidR="00B3068C" w:rsidRPr="00B3068C" w:rsidRDefault="00B3068C" w:rsidP="00B3068C">
      <w:pPr>
        <w:rPr>
          <w:lang w:val="fr-FR"/>
        </w:rPr>
      </w:pPr>
      <w:r w:rsidRPr="00B3068C">
        <w:rPr>
          <w:lang w:val="fr-FR"/>
        </w:rPr>
        <w:t>• Conservation de</w:t>
      </w:r>
      <w:r w:rsidR="00642E30">
        <w:rPr>
          <w:lang w:val="fr-FR"/>
        </w:rPr>
        <w:t xml:space="preserve">s </w:t>
      </w:r>
      <w:r w:rsidRPr="00B3068C">
        <w:rPr>
          <w:lang w:val="fr-FR"/>
        </w:rPr>
        <w:t>carte</w:t>
      </w:r>
      <w:r w:rsidR="00642E30">
        <w:rPr>
          <w:lang w:val="fr-FR"/>
        </w:rPr>
        <w:t xml:space="preserve">s </w:t>
      </w:r>
      <w:r w:rsidR="00642E30" w:rsidRPr="00642E30">
        <w:rPr>
          <w:lang w:val="fr-FR"/>
        </w:rPr>
        <w:t>d'enregistrement</w:t>
      </w:r>
      <w:r w:rsidR="00642E30">
        <w:rPr>
          <w:lang w:val="fr-FR"/>
        </w:rPr>
        <w:t xml:space="preserve"> de CPS:</w:t>
      </w:r>
      <w:r w:rsidRPr="00B3068C">
        <w:rPr>
          <w:lang w:val="fr-FR"/>
        </w:rPr>
        <w:t xml:space="preserve"> proportion des ménages où l</w:t>
      </w:r>
      <w:r w:rsidR="005B18CD">
        <w:rPr>
          <w:lang w:val="fr-FR"/>
        </w:rPr>
        <w:t>es</w:t>
      </w:r>
      <w:r w:rsidRPr="00B3068C">
        <w:rPr>
          <w:lang w:val="fr-FR"/>
        </w:rPr>
        <w:t xml:space="preserve"> carte</w:t>
      </w:r>
      <w:r w:rsidR="005B18CD">
        <w:rPr>
          <w:lang w:val="fr-FR"/>
        </w:rPr>
        <w:t>s</w:t>
      </w:r>
      <w:r w:rsidRPr="00B3068C">
        <w:rPr>
          <w:lang w:val="fr-FR"/>
        </w:rPr>
        <w:t xml:space="preserve"> </w:t>
      </w:r>
      <w:r w:rsidR="005B18CD">
        <w:rPr>
          <w:lang w:val="fr-FR"/>
        </w:rPr>
        <w:t>sont</w:t>
      </w:r>
      <w:r w:rsidR="005B18CD" w:rsidRPr="00B3068C">
        <w:rPr>
          <w:lang w:val="fr-FR"/>
        </w:rPr>
        <w:t xml:space="preserve"> </w:t>
      </w:r>
      <w:r w:rsidRPr="00B3068C">
        <w:rPr>
          <w:lang w:val="fr-FR"/>
        </w:rPr>
        <w:t>conservée</w:t>
      </w:r>
      <w:r w:rsidR="005B18CD">
        <w:rPr>
          <w:lang w:val="fr-FR"/>
        </w:rPr>
        <w:t>s</w:t>
      </w:r>
      <w:r w:rsidRPr="00B3068C">
        <w:rPr>
          <w:lang w:val="fr-FR"/>
        </w:rPr>
        <w:t xml:space="preserve"> parmi les ménages éligibles </w:t>
      </w:r>
      <w:r w:rsidR="002609E4">
        <w:rPr>
          <w:lang w:val="fr-FR"/>
        </w:rPr>
        <w:t>dans lesquels les enfants ont été traités</w:t>
      </w:r>
    </w:p>
    <w:p w14:paraId="042F0175" w14:textId="77777777" w:rsidR="00642E30" w:rsidRDefault="00B3068C" w:rsidP="00642E30">
      <w:pPr>
        <w:rPr>
          <w:lang w:val="fr-FR"/>
        </w:rPr>
      </w:pPr>
      <w:r w:rsidRPr="00B3068C">
        <w:rPr>
          <w:lang w:val="fr-FR"/>
        </w:rPr>
        <w:t>• Doses</w:t>
      </w:r>
      <w:r w:rsidR="00642E30">
        <w:rPr>
          <w:lang w:val="fr-FR"/>
        </w:rPr>
        <w:t xml:space="preserve"> administr</w:t>
      </w:r>
      <w:r w:rsidR="00642E30" w:rsidRPr="00B3068C">
        <w:rPr>
          <w:lang w:val="fr-FR"/>
        </w:rPr>
        <w:t>é</w:t>
      </w:r>
      <w:r w:rsidR="00642E30">
        <w:rPr>
          <w:lang w:val="fr-FR"/>
        </w:rPr>
        <w:t>s</w:t>
      </w:r>
      <w:r w:rsidRPr="00B3068C">
        <w:rPr>
          <w:lang w:val="fr-FR"/>
        </w:rPr>
        <w:t xml:space="preserve"> à domicile cochées sur la carte (0, 1, 2 et 3</w:t>
      </w:r>
      <w:r w:rsidR="00642E30">
        <w:rPr>
          <w:lang w:val="fr-FR"/>
        </w:rPr>
        <w:t xml:space="preserve">, y compris la dose du jour </w:t>
      </w:r>
    </w:p>
    <w:p w14:paraId="1A57A3EC" w14:textId="77777777" w:rsidR="00257447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</w:t>
      </w:r>
      <w:r w:rsidR="00B3068C" w:rsidRPr="00642E30">
        <w:rPr>
          <w:lang w:val="fr-FR"/>
        </w:rPr>
        <w:t xml:space="preserve">Proportion du total des ménages où les doses de </w:t>
      </w:r>
      <w:r>
        <w:rPr>
          <w:lang w:val="fr-FR"/>
        </w:rPr>
        <w:t>CPS</w:t>
      </w:r>
      <w:r w:rsidR="00B3068C" w:rsidRPr="00642E30">
        <w:rPr>
          <w:lang w:val="fr-FR"/>
        </w:rPr>
        <w:t xml:space="preserve"> sont cochées sur la carte parmi les ménages totaux où la carte est conservée.</w:t>
      </w:r>
    </w:p>
    <w:p w14:paraId="2F3853FA" w14:textId="67E1C396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Couverture </w:t>
      </w:r>
      <w:r>
        <w:rPr>
          <w:lang w:val="fr-FR"/>
        </w:rPr>
        <w:t>CPS</w:t>
      </w:r>
      <w:r w:rsidRPr="00642E30">
        <w:rPr>
          <w:lang w:val="fr-FR"/>
        </w:rPr>
        <w:t xml:space="preserve"> par doses (0, 1, 2 et 3, y compris la dose du jour 1): proportion des enfants éligibles couverts (en nombre de doses) parmi le nombre total d'enfants éligibles </w:t>
      </w:r>
      <w:r w:rsidR="002609E4">
        <w:rPr>
          <w:lang w:val="fr-FR"/>
        </w:rPr>
        <w:t>enquêtés</w:t>
      </w:r>
    </w:p>
    <w:p w14:paraId="1EFA5CFD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Couverture des enfants âgés de 5 à 10 ans: enfants de plus de 5 ans couverts parmi les enfants de plus de 5 ans échantillonnés</w:t>
      </w:r>
    </w:p>
    <w:p w14:paraId="05CE0E1C" w14:textId="5B193811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Taux de refus de </w:t>
      </w:r>
      <w:r>
        <w:rPr>
          <w:lang w:val="fr-FR"/>
        </w:rPr>
        <w:t>CPS</w:t>
      </w:r>
      <w:r w:rsidRPr="00642E30">
        <w:rPr>
          <w:lang w:val="fr-FR"/>
        </w:rPr>
        <w:t xml:space="preserve">: Proportion de ménages refusant la </w:t>
      </w:r>
      <w:r>
        <w:rPr>
          <w:lang w:val="fr-FR"/>
        </w:rPr>
        <w:t>CPS</w:t>
      </w:r>
      <w:r w:rsidRPr="00642E30">
        <w:rPr>
          <w:lang w:val="fr-FR"/>
        </w:rPr>
        <w:t xml:space="preserve"> parmi les ménages éligibles </w:t>
      </w:r>
      <w:r w:rsidR="002609E4">
        <w:rPr>
          <w:lang w:val="fr-FR"/>
        </w:rPr>
        <w:t>enquêtés</w:t>
      </w:r>
    </w:p>
    <w:p w14:paraId="4D00047D" w14:textId="29C2A50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Sensibilisation au </w:t>
      </w:r>
      <w:r>
        <w:rPr>
          <w:lang w:val="fr-FR"/>
        </w:rPr>
        <w:t>CPS</w:t>
      </w:r>
      <w:r w:rsidRPr="00642E30">
        <w:rPr>
          <w:lang w:val="fr-FR"/>
        </w:rPr>
        <w:t xml:space="preserve">: nombre de </w:t>
      </w:r>
      <w:r w:rsidR="002609E4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déclarant connaître le </w:t>
      </w:r>
      <w:r>
        <w:rPr>
          <w:lang w:val="fr-FR"/>
        </w:rPr>
        <w:t>CPS</w:t>
      </w:r>
      <w:r w:rsidRPr="00642E30">
        <w:rPr>
          <w:lang w:val="fr-FR"/>
        </w:rPr>
        <w:t xml:space="preserve"> parmi les ménages éligibles </w:t>
      </w:r>
      <w:r w:rsidR="002609E4">
        <w:rPr>
          <w:lang w:val="fr-FR"/>
        </w:rPr>
        <w:t>enquêtés</w:t>
      </w:r>
    </w:p>
    <w:p w14:paraId="14B911B8" w14:textId="3A7056AF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Connaissance de l'objectif du </w:t>
      </w:r>
      <w:r>
        <w:rPr>
          <w:lang w:val="fr-FR"/>
        </w:rPr>
        <w:t>CPS</w:t>
      </w:r>
      <w:r w:rsidRPr="00642E30">
        <w:rPr>
          <w:lang w:val="fr-FR"/>
        </w:rPr>
        <w:t xml:space="preserve">: proportion </w:t>
      </w:r>
      <w:r w:rsidR="002609E4" w:rsidRPr="00642E30">
        <w:rPr>
          <w:lang w:val="fr-FR"/>
        </w:rPr>
        <w:t xml:space="preserve">de </w:t>
      </w:r>
      <w:r w:rsidR="002609E4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répondant correctement à la question sur l'objectif du </w:t>
      </w:r>
      <w:r>
        <w:rPr>
          <w:lang w:val="fr-FR"/>
        </w:rPr>
        <w:t>CPS</w:t>
      </w:r>
      <w:r w:rsidRPr="00642E30">
        <w:rPr>
          <w:lang w:val="fr-FR"/>
        </w:rPr>
        <w:t xml:space="preserve"> parmi les ménages éligibles </w:t>
      </w:r>
      <w:r w:rsidR="002609E4">
        <w:rPr>
          <w:lang w:val="fr-FR"/>
        </w:rPr>
        <w:t>enquêtés</w:t>
      </w:r>
    </w:p>
    <w:p w14:paraId="1AE97F50" w14:textId="3DE9A2AD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lastRenderedPageBreak/>
        <w:t xml:space="preserve">• Connaissance du nombre de doses de </w:t>
      </w:r>
      <w:r>
        <w:rPr>
          <w:lang w:val="fr-FR"/>
        </w:rPr>
        <w:t>CPS</w:t>
      </w:r>
      <w:r w:rsidRPr="00642E30">
        <w:rPr>
          <w:lang w:val="fr-FR"/>
        </w:rPr>
        <w:t xml:space="preserve"> à administrer: proportion de </w:t>
      </w:r>
      <w:r w:rsidR="002609E4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répondant correctement à la question sur le nombre de doses de </w:t>
      </w:r>
      <w:r>
        <w:rPr>
          <w:lang w:val="fr-FR"/>
        </w:rPr>
        <w:t>CPS</w:t>
      </w:r>
      <w:r w:rsidRPr="00642E30">
        <w:rPr>
          <w:lang w:val="fr-FR"/>
        </w:rPr>
        <w:t xml:space="preserve"> recommandées parmi les ménages éligibles </w:t>
      </w:r>
      <w:r w:rsidR="001A1F88">
        <w:rPr>
          <w:lang w:val="fr-FR"/>
        </w:rPr>
        <w:t>enquêtés</w:t>
      </w:r>
    </w:p>
    <w:p w14:paraId="0AC5CDC6" w14:textId="2F949529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Connaissance de l’âge de l’éligibilité au </w:t>
      </w:r>
      <w:r>
        <w:rPr>
          <w:lang w:val="fr-FR"/>
        </w:rPr>
        <w:t>CPS</w:t>
      </w:r>
      <w:r w:rsidRPr="00642E30">
        <w:rPr>
          <w:lang w:val="fr-FR"/>
        </w:rPr>
        <w:t xml:space="preserve">: Proportion </w:t>
      </w:r>
      <w:r w:rsidR="001A1F88" w:rsidRPr="00642E30">
        <w:rPr>
          <w:lang w:val="fr-FR"/>
        </w:rPr>
        <w:t xml:space="preserve">de </w:t>
      </w:r>
      <w:r w:rsidR="001A1F88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répondant correctement aux questions relatives à l’âge </w:t>
      </w:r>
      <w:r w:rsidR="001A1F88">
        <w:rPr>
          <w:lang w:val="fr-FR"/>
        </w:rPr>
        <w:t xml:space="preserve">requise </w:t>
      </w:r>
      <w:r w:rsidRPr="00642E30">
        <w:rPr>
          <w:lang w:val="fr-FR"/>
        </w:rPr>
        <w:t xml:space="preserve">parmi les ménages éligibles </w:t>
      </w:r>
      <w:r w:rsidR="001A1F88">
        <w:rPr>
          <w:lang w:val="fr-FR"/>
        </w:rPr>
        <w:t>enquêtés</w:t>
      </w:r>
    </w:p>
    <w:p w14:paraId="6173D0C3" w14:textId="76AA77CD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Connaissance du moment de l'administration du </w:t>
      </w:r>
      <w:r>
        <w:rPr>
          <w:lang w:val="fr-FR"/>
        </w:rPr>
        <w:t>CPS</w:t>
      </w:r>
      <w:r w:rsidRPr="00642E30">
        <w:rPr>
          <w:lang w:val="fr-FR"/>
        </w:rPr>
        <w:t xml:space="preserve">: Proportion </w:t>
      </w:r>
      <w:r w:rsidR="001A1F88" w:rsidRPr="00642E30">
        <w:rPr>
          <w:lang w:val="fr-FR"/>
        </w:rPr>
        <w:t xml:space="preserve">de </w:t>
      </w:r>
      <w:r w:rsidR="001A1F88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répondant correctement aux questions relatives aux jours où les doses de </w:t>
      </w:r>
      <w:r>
        <w:rPr>
          <w:lang w:val="fr-FR"/>
        </w:rPr>
        <w:t>CPS</w:t>
      </w:r>
      <w:r w:rsidRPr="00642E30">
        <w:rPr>
          <w:lang w:val="fr-FR"/>
        </w:rPr>
        <w:t xml:space="preserve"> sont administrées </w:t>
      </w:r>
      <w:r w:rsidR="001A1F88">
        <w:rPr>
          <w:lang w:val="fr-FR"/>
        </w:rPr>
        <w:t xml:space="preserve">aux enfants </w:t>
      </w:r>
      <w:r w:rsidRPr="00642E30">
        <w:rPr>
          <w:lang w:val="fr-FR"/>
        </w:rPr>
        <w:t xml:space="preserve">parmi les ménages éligibles </w:t>
      </w:r>
      <w:r w:rsidR="001A1F88">
        <w:rPr>
          <w:lang w:val="fr-FR"/>
        </w:rPr>
        <w:t>enquêtés</w:t>
      </w:r>
    </w:p>
    <w:p w14:paraId="331CACA5" w14:textId="4364A41E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Connaissance de l'événement indésirable </w:t>
      </w:r>
      <w:r>
        <w:rPr>
          <w:lang w:val="fr-FR"/>
        </w:rPr>
        <w:t>CPS</w:t>
      </w:r>
      <w:r w:rsidRPr="00642E30">
        <w:rPr>
          <w:lang w:val="fr-FR"/>
        </w:rPr>
        <w:t xml:space="preserve">: proportion </w:t>
      </w:r>
      <w:r w:rsidR="001A1F88" w:rsidRPr="00642E30">
        <w:rPr>
          <w:lang w:val="fr-FR"/>
        </w:rPr>
        <w:t xml:space="preserve">de </w:t>
      </w:r>
      <w:r w:rsidR="001A1F88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qui savent quoi faire en cas d'événement indésirable lié au </w:t>
      </w:r>
      <w:r>
        <w:rPr>
          <w:lang w:val="fr-FR"/>
        </w:rPr>
        <w:t>CPS</w:t>
      </w:r>
      <w:r w:rsidRPr="00642E30">
        <w:rPr>
          <w:lang w:val="fr-FR"/>
        </w:rPr>
        <w:t xml:space="preserve"> parmi les ménages éligibles </w:t>
      </w:r>
      <w:r w:rsidR="001A1F88">
        <w:rPr>
          <w:lang w:val="fr-FR"/>
        </w:rPr>
        <w:t>enquêtés</w:t>
      </w:r>
    </w:p>
    <w:p w14:paraId="6E180DAE" w14:textId="13DEA005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Confiance pour administrer </w:t>
      </w:r>
      <w:proofErr w:type="gramStart"/>
      <w:r w:rsidRPr="00642E30">
        <w:rPr>
          <w:lang w:val="fr-FR"/>
        </w:rPr>
        <w:t>les deuxième et troisième doses</w:t>
      </w:r>
      <w:proofErr w:type="gramEnd"/>
      <w:r w:rsidRPr="00642E30">
        <w:rPr>
          <w:lang w:val="fr-FR"/>
        </w:rPr>
        <w:t xml:space="preserve"> de </w:t>
      </w:r>
      <w:r>
        <w:rPr>
          <w:lang w:val="fr-FR"/>
        </w:rPr>
        <w:t>CPS</w:t>
      </w:r>
      <w:r w:rsidRPr="00642E30">
        <w:rPr>
          <w:lang w:val="fr-FR"/>
        </w:rPr>
        <w:t xml:space="preserve">: proportion </w:t>
      </w:r>
      <w:r w:rsidR="001A1F88" w:rsidRPr="00642E30">
        <w:rPr>
          <w:lang w:val="fr-FR"/>
        </w:rPr>
        <w:t xml:space="preserve">de </w:t>
      </w:r>
      <w:r w:rsidR="001A1F88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déclarant avoir confiance en eux pour administrer les deuxième et troisième doses de </w:t>
      </w:r>
      <w:r>
        <w:rPr>
          <w:lang w:val="fr-FR"/>
        </w:rPr>
        <w:t>CPS</w:t>
      </w:r>
      <w:r w:rsidRPr="00642E30">
        <w:rPr>
          <w:lang w:val="fr-FR"/>
        </w:rPr>
        <w:t xml:space="preserve"> parmi les ménages éligibles </w:t>
      </w:r>
      <w:r w:rsidR="001A1F88">
        <w:rPr>
          <w:lang w:val="fr-FR"/>
        </w:rPr>
        <w:t>enquêtés</w:t>
      </w:r>
    </w:p>
    <w:p w14:paraId="2BD1C0F3" w14:textId="45BBC19D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Confiance pour identifier les événements indésirables: proportion </w:t>
      </w:r>
      <w:r w:rsidR="001A1F88" w:rsidRPr="00642E30">
        <w:rPr>
          <w:lang w:val="fr-FR"/>
        </w:rPr>
        <w:t xml:space="preserve">de </w:t>
      </w:r>
      <w:r w:rsidR="001A1F88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déclarant avoir confiance en eux pour identifier les événements indésirables parmi les ménages éligibles </w:t>
      </w:r>
      <w:r w:rsidR="001A1F88">
        <w:rPr>
          <w:lang w:val="fr-FR"/>
        </w:rPr>
        <w:t>enquêtés</w:t>
      </w:r>
    </w:p>
    <w:p w14:paraId="28E4041E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Confiance pour emmener l'enfant au centre de santé en cas d'événements indésirables</w:t>
      </w:r>
    </w:p>
    <w:p w14:paraId="4E7EC492" w14:textId="3B41E3E6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Proportion </w:t>
      </w:r>
      <w:r w:rsidR="001A1F88" w:rsidRPr="00642E30">
        <w:rPr>
          <w:lang w:val="fr-FR"/>
        </w:rPr>
        <w:t xml:space="preserve">de </w:t>
      </w:r>
      <w:r w:rsidR="001A1F88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déclarant avoir confiance en eux pour emmener l'enfant au centre de santé en cas d'événements indésirables parmi les ménages éligibles </w:t>
      </w:r>
      <w:r w:rsidR="001A1F88">
        <w:rPr>
          <w:lang w:val="fr-FR"/>
        </w:rPr>
        <w:t>enquêtés</w:t>
      </w:r>
    </w:p>
    <w:p w14:paraId="7047EE6D" w14:textId="69D0D0DC" w:rsidR="00642E30" w:rsidRPr="00642E30" w:rsidRDefault="00642E30" w:rsidP="00642E30">
      <w:pPr>
        <w:rPr>
          <w:lang w:val="fr-FR"/>
        </w:rPr>
      </w:pPr>
      <w:r>
        <w:rPr>
          <w:lang w:val="fr-FR"/>
        </w:rPr>
        <w:t>• Perception positive de CPS</w:t>
      </w:r>
      <w:r w:rsidRPr="00642E30">
        <w:rPr>
          <w:lang w:val="fr-FR"/>
        </w:rPr>
        <w:t xml:space="preserve"> parmi les ménages éligibles </w:t>
      </w:r>
      <w:r w:rsidR="001A1F88">
        <w:rPr>
          <w:lang w:val="fr-FR"/>
        </w:rPr>
        <w:t>enquêtés</w:t>
      </w:r>
      <w:r w:rsidRPr="00642E30">
        <w:rPr>
          <w:lang w:val="fr-FR"/>
        </w:rPr>
        <w:t>.</w:t>
      </w:r>
    </w:p>
    <w:p w14:paraId="1292C030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Utilisation des équipements de protection individuelle par les distributeurs;</w:t>
      </w:r>
    </w:p>
    <w:p w14:paraId="22E3BD31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lastRenderedPageBreak/>
        <w:t>• Possession par les ménages d'une moustiquaire;</w:t>
      </w:r>
    </w:p>
    <w:p w14:paraId="15DDCCC8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Ménage correctement marqué (le cas échéant);</w:t>
      </w:r>
    </w:p>
    <w:p w14:paraId="7905CF2C" w14:textId="0AE96DC1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Le </w:t>
      </w:r>
      <w:r w:rsidR="001A1F88">
        <w:rPr>
          <w:lang w:val="fr-FR"/>
        </w:rPr>
        <w:t xml:space="preserve">chef </w:t>
      </w:r>
      <w:r w:rsidRPr="00642E30">
        <w:rPr>
          <w:lang w:val="fr-FR"/>
        </w:rPr>
        <w:t xml:space="preserve">ménage a refusé au distributeur de </w:t>
      </w:r>
      <w:r w:rsidR="001A1F88">
        <w:rPr>
          <w:lang w:val="fr-FR"/>
        </w:rPr>
        <w:t xml:space="preserve">lui </w:t>
      </w:r>
      <w:r w:rsidRPr="00642E30">
        <w:rPr>
          <w:lang w:val="fr-FR"/>
        </w:rPr>
        <w:t>parler en raison du COVID-19;</w:t>
      </w:r>
    </w:p>
    <w:p w14:paraId="6EE9C5DD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Un membre du ménage a signalé des symptômes du COVID-19 au cours du dernier mois précédant l'enquête;</w:t>
      </w:r>
    </w:p>
    <w:p w14:paraId="1958AB4B" w14:textId="382432D2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Distributeur communautaire connu </w:t>
      </w:r>
      <w:r w:rsidR="001A1F88" w:rsidRPr="00642E30">
        <w:rPr>
          <w:lang w:val="fr-FR"/>
        </w:rPr>
        <w:t>d</w:t>
      </w:r>
      <w:r w:rsidR="001A1F88">
        <w:rPr>
          <w:lang w:val="fr-FR"/>
        </w:rPr>
        <w:t>u</w:t>
      </w:r>
      <w:r w:rsidR="001A1F88" w:rsidRPr="00642E30">
        <w:rPr>
          <w:lang w:val="fr-FR"/>
        </w:rPr>
        <w:t xml:space="preserve"> </w:t>
      </w:r>
      <w:r w:rsidR="001A1F88">
        <w:rPr>
          <w:lang w:val="fr-FR"/>
        </w:rPr>
        <w:t xml:space="preserve">chef ménages ou gardiens d’enfants </w:t>
      </w:r>
      <w:r w:rsidRPr="00642E30">
        <w:rPr>
          <w:lang w:val="fr-FR"/>
        </w:rPr>
        <w:t>;</w:t>
      </w:r>
    </w:p>
    <w:p w14:paraId="79B02765" w14:textId="28879CDA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</w:t>
      </w:r>
      <w:r w:rsidR="001A1F88">
        <w:rPr>
          <w:lang w:val="fr-FR"/>
        </w:rPr>
        <w:t>Le</w:t>
      </w:r>
      <w:r w:rsidR="001A1F88" w:rsidRPr="00642E30">
        <w:rPr>
          <w:lang w:val="fr-FR"/>
        </w:rPr>
        <w:t xml:space="preserve"> </w:t>
      </w:r>
      <w:r w:rsidR="001A1F88">
        <w:rPr>
          <w:lang w:val="fr-FR"/>
        </w:rPr>
        <w:t xml:space="preserve">chef ménages ou gardiens d’enfants </w:t>
      </w:r>
      <w:r w:rsidRPr="00642E30">
        <w:rPr>
          <w:lang w:val="fr-FR"/>
        </w:rPr>
        <w:t xml:space="preserve">a entendu les annonces </w:t>
      </w:r>
      <w:r w:rsidR="001A1F88">
        <w:rPr>
          <w:lang w:val="fr-FR"/>
        </w:rPr>
        <w:t>s</w:t>
      </w:r>
      <w:r w:rsidRPr="00642E30">
        <w:rPr>
          <w:lang w:val="fr-FR"/>
        </w:rPr>
        <w:t xml:space="preserve"> </w:t>
      </w:r>
      <w:r>
        <w:rPr>
          <w:lang w:val="fr-FR"/>
        </w:rPr>
        <w:t>CPS</w:t>
      </w:r>
      <w:r w:rsidRPr="00642E30">
        <w:rPr>
          <w:lang w:val="fr-FR"/>
        </w:rPr>
        <w:t xml:space="preserve"> le mois dernier;</w:t>
      </w:r>
    </w:p>
    <w:p w14:paraId="75E45502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Sensibilisation du soignant COVID-19 à l'existence du COVID-19;</w:t>
      </w:r>
    </w:p>
    <w:p w14:paraId="539E2FBA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Connaissance par le soignant COVID-19 de tout symptôme;</w:t>
      </w:r>
    </w:p>
    <w:p w14:paraId="7699D21A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Connaissance du COVID-19 par le soignant des comportements appropriés de prévention et de contrôle des infections;</w:t>
      </w:r>
    </w:p>
    <w:p w14:paraId="061E1FFE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L'enfant a eu de la fièvre au cours du dernier mois (rapportée par le soignant);</w:t>
      </w:r>
    </w:p>
    <w:p w14:paraId="4CBE0028" w14:textId="75992EEF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</w:t>
      </w:r>
      <w:r w:rsidR="003F42B3">
        <w:rPr>
          <w:lang w:val="fr-FR"/>
        </w:rPr>
        <w:t xml:space="preserve">Recours à l’agent d santé communautaire ou au centre de </w:t>
      </w:r>
      <w:proofErr w:type="gramStart"/>
      <w:r w:rsidR="003F42B3">
        <w:rPr>
          <w:lang w:val="fr-FR"/>
        </w:rPr>
        <w:t xml:space="preserve">santé </w:t>
      </w:r>
      <w:r w:rsidRPr="00642E30">
        <w:rPr>
          <w:lang w:val="fr-FR"/>
        </w:rPr>
        <w:t xml:space="preserve"> si</w:t>
      </w:r>
      <w:proofErr w:type="gramEnd"/>
      <w:r w:rsidRPr="00642E30">
        <w:rPr>
          <w:lang w:val="fr-FR"/>
        </w:rPr>
        <w:t xml:space="preserve"> l'enfant a de la fièvre</w:t>
      </w:r>
    </w:p>
    <w:p w14:paraId="3018D0CE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Enfant testé positif pour le paludisme (TDR / microscopie);</w:t>
      </w:r>
    </w:p>
    <w:p w14:paraId="430F333F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Raison pour laquelle l'enfant n'a pas reçu de SP (jour 1);</w:t>
      </w:r>
    </w:p>
    <w:p w14:paraId="392DCB82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Raison pour laquelle l'enfant n'a pas reçu de QA les jours 2 et 3;</w:t>
      </w:r>
    </w:p>
    <w:p w14:paraId="2CE508FA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Raisons de la non-disponibilité de la carte </w:t>
      </w:r>
      <w:r>
        <w:rPr>
          <w:lang w:val="fr-FR"/>
        </w:rPr>
        <w:t>CPS</w:t>
      </w:r>
      <w:r w:rsidRPr="00642E30">
        <w:rPr>
          <w:lang w:val="fr-FR"/>
        </w:rPr>
        <w:t>;</w:t>
      </w:r>
    </w:p>
    <w:p w14:paraId="699634FC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Occurrence d'un événement / réaction indésirable;</w:t>
      </w:r>
    </w:p>
    <w:p w14:paraId="427BA367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Type d'événement / réaction indésirable signalé;</w:t>
      </w:r>
    </w:p>
    <w:p w14:paraId="1C3889ED" w14:textId="10AA7B91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Rapport d'événement / réaction indésirable au</w:t>
      </w:r>
      <w:r w:rsidR="003F42B3">
        <w:rPr>
          <w:lang w:val="fr-FR"/>
        </w:rPr>
        <w:t>x</w:t>
      </w:r>
      <w:r w:rsidRPr="00642E30">
        <w:rPr>
          <w:lang w:val="fr-FR"/>
        </w:rPr>
        <w:t xml:space="preserve"> </w:t>
      </w:r>
      <w:r w:rsidR="003F42B3">
        <w:rPr>
          <w:lang w:val="fr-FR"/>
        </w:rPr>
        <w:t>agents</w:t>
      </w:r>
      <w:r w:rsidR="003F42B3" w:rsidRPr="00642E30">
        <w:rPr>
          <w:lang w:val="fr-FR"/>
        </w:rPr>
        <w:t xml:space="preserve"> </w:t>
      </w:r>
      <w:r w:rsidRPr="00642E30">
        <w:rPr>
          <w:lang w:val="fr-FR"/>
        </w:rPr>
        <w:t>de la santé;</w:t>
      </w:r>
    </w:p>
    <w:p w14:paraId="401004F7" w14:textId="77777777" w:rsidR="00642E30" w:rsidRDefault="00642E30" w:rsidP="00642E30">
      <w:pPr>
        <w:rPr>
          <w:lang w:val="fr-FR"/>
        </w:rPr>
      </w:pPr>
      <w:r w:rsidRPr="00642E30">
        <w:rPr>
          <w:lang w:val="fr-FR"/>
        </w:rPr>
        <w:lastRenderedPageBreak/>
        <w:t xml:space="preserve">• Sources d’information sur </w:t>
      </w:r>
      <w:r>
        <w:rPr>
          <w:lang w:val="fr-FR"/>
        </w:rPr>
        <w:t>CPS</w:t>
      </w:r>
      <w:r w:rsidRPr="00642E30">
        <w:rPr>
          <w:lang w:val="fr-FR"/>
        </w:rPr>
        <w:t xml:space="preserve"> </w:t>
      </w:r>
    </w:p>
    <w:p w14:paraId="419B5697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</w:t>
      </w:r>
      <w:r>
        <w:rPr>
          <w:lang w:val="fr-FR"/>
        </w:rPr>
        <w:t>P</w:t>
      </w:r>
      <w:r w:rsidRPr="00642E30">
        <w:rPr>
          <w:lang w:val="fr-FR"/>
        </w:rPr>
        <w:t>osition socio-économique du ménage (profession, actifs et commodités, niveau d'éducation du chef de ménage et du soignant)</w:t>
      </w:r>
    </w:p>
    <w:p w14:paraId="7F55B70B" w14:textId="4A9232D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</w:t>
      </w:r>
      <w:r w:rsidR="003F42B3">
        <w:rPr>
          <w:lang w:val="fr-FR"/>
        </w:rPr>
        <w:t>Seconde dose</w:t>
      </w:r>
      <w:r w:rsidRPr="00642E30">
        <w:rPr>
          <w:lang w:val="fr-FR"/>
        </w:rPr>
        <w:t xml:space="preserve"> le jour 1 en cas de vomissements</w:t>
      </w:r>
    </w:p>
    <w:p w14:paraId="165C192F" w14:textId="74BE051A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 xml:space="preserve">• Réception de </w:t>
      </w:r>
      <w:r>
        <w:rPr>
          <w:lang w:val="fr-FR"/>
        </w:rPr>
        <w:t>CPS</w:t>
      </w:r>
      <w:r w:rsidRPr="00642E30">
        <w:rPr>
          <w:lang w:val="fr-FR"/>
        </w:rPr>
        <w:t xml:space="preserve"> en dehors de la distribution de </w:t>
      </w:r>
      <w:r>
        <w:rPr>
          <w:lang w:val="fr-FR"/>
        </w:rPr>
        <w:t>CPS</w:t>
      </w:r>
      <w:r w:rsidRPr="00642E30">
        <w:rPr>
          <w:lang w:val="fr-FR"/>
        </w:rPr>
        <w:t xml:space="preserve"> </w:t>
      </w:r>
      <w:proofErr w:type="gramStart"/>
      <w:r w:rsidR="003F42B3">
        <w:rPr>
          <w:lang w:val="fr-FR"/>
        </w:rPr>
        <w:t xml:space="preserve">porte </w:t>
      </w:r>
      <w:r w:rsidR="003F42B3" w:rsidRPr="00642E30">
        <w:rPr>
          <w:lang w:val="fr-FR"/>
        </w:rPr>
        <w:t xml:space="preserve"> </w:t>
      </w:r>
      <w:r w:rsidRPr="00642E30">
        <w:rPr>
          <w:lang w:val="fr-FR"/>
        </w:rPr>
        <w:t>à</w:t>
      </w:r>
      <w:proofErr w:type="gramEnd"/>
      <w:r w:rsidRPr="00642E30">
        <w:rPr>
          <w:lang w:val="fr-FR"/>
        </w:rPr>
        <w:t xml:space="preserve"> </w:t>
      </w:r>
      <w:r w:rsidR="003F42B3">
        <w:rPr>
          <w:lang w:val="fr-FR"/>
        </w:rPr>
        <w:t>porte</w:t>
      </w:r>
      <w:r w:rsidR="003F42B3" w:rsidRPr="00642E30">
        <w:rPr>
          <w:lang w:val="fr-FR"/>
        </w:rPr>
        <w:t xml:space="preserve"> </w:t>
      </w:r>
      <w:r w:rsidRPr="00642E30">
        <w:rPr>
          <w:lang w:val="fr-FR"/>
        </w:rPr>
        <w:t>(par exemple, de manière opportuniste du personnel de l'établissement de santé, un point fixe</w:t>
      </w:r>
    </w:p>
    <w:p w14:paraId="663EE109" w14:textId="77777777" w:rsidR="00642E30" w:rsidRPr="00642E30" w:rsidRDefault="00642E30" w:rsidP="00642E30">
      <w:pPr>
        <w:rPr>
          <w:lang w:val="fr-FR"/>
        </w:rPr>
      </w:pPr>
      <w:r w:rsidRPr="00642E30">
        <w:rPr>
          <w:lang w:val="fr-FR"/>
        </w:rPr>
        <w:t>• Questions sur les lieux de résidence récents et la migration</w:t>
      </w:r>
    </w:p>
    <w:p w14:paraId="154C029E" w14:textId="77777777" w:rsidR="00642E30" w:rsidRDefault="00642E30" w:rsidP="00642E30">
      <w:pPr>
        <w:rPr>
          <w:b/>
          <w:lang w:val="fr-FR"/>
        </w:rPr>
      </w:pPr>
    </w:p>
    <w:p w14:paraId="200D33E7" w14:textId="77777777" w:rsidR="00244499" w:rsidRPr="000E52B9" w:rsidRDefault="00351E80">
      <w:pPr>
        <w:rPr>
          <w:b/>
          <w:lang w:val="fr-FR"/>
        </w:rPr>
      </w:pPr>
      <w:r w:rsidRPr="001A6024">
        <w:rPr>
          <w:b/>
          <w:lang w:val="fr-FR"/>
        </w:rPr>
        <w:t>Informations</w:t>
      </w:r>
      <w:r w:rsidRPr="000E52B9">
        <w:rPr>
          <w:b/>
          <w:lang w:val="fr-FR"/>
        </w:rPr>
        <w:t xml:space="preserve"> </w:t>
      </w:r>
      <w:r w:rsidR="003E1B9D" w:rsidRPr="000E52B9">
        <w:rPr>
          <w:b/>
          <w:lang w:val="fr-FR"/>
        </w:rPr>
        <w:t>supplémentaires</w:t>
      </w:r>
    </w:p>
    <w:p w14:paraId="358CE9DA" w14:textId="38D6A052" w:rsidR="00351E80" w:rsidRPr="000E52B9" w:rsidRDefault="003F42B3">
      <w:pPr>
        <w:rPr>
          <w:lang w:val="fr-FR"/>
        </w:rPr>
      </w:pPr>
      <w:r>
        <w:rPr>
          <w:lang w:val="fr-FR"/>
        </w:rPr>
        <w:t>L</w:t>
      </w:r>
      <w:r w:rsidR="001D0CD3">
        <w:rPr>
          <w:lang w:val="fr-FR"/>
        </w:rPr>
        <w:t>e</w:t>
      </w:r>
      <w:r>
        <w:rPr>
          <w:lang w:val="fr-FR"/>
        </w:rPr>
        <w:t xml:space="preserve"> calcul</w:t>
      </w:r>
      <w:r w:rsidR="00351E80" w:rsidRPr="00351E80">
        <w:rPr>
          <w:lang w:val="fr-FR"/>
        </w:rPr>
        <w:t xml:space="preserve"> des distances entre </w:t>
      </w:r>
      <w:r w:rsidR="00351E80">
        <w:rPr>
          <w:lang w:val="fr-FR"/>
        </w:rPr>
        <w:t xml:space="preserve">chaque grappe (sélectionné </w:t>
      </w:r>
      <w:r w:rsidR="00642E30">
        <w:rPr>
          <w:lang w:val="fr-FR"/>
        </w:rPr>
        <w:t>aléatoirement</w:t>
      </w:r>
      <w:r w:rsidR="00351E80">
        <w:rPr>
          <w:lang w:val="fr-FR"/>
        </w:rPr>
        <w:t xml:space="preserve">) et son CS correspondant a été effectué. </w:t>
      </w:r>
      <w:r w:rsidR="000E52B9">
        <w:rPr>
          <w:lang w:val="fr-FR"/>
        </w:rPr>
        <w:t>En moyenne chaque grappe est à 7.0km de son CS (95% CI: 6.1km à 7.9</w:t>
      </w:r>
      <w:r w:rsidR="000E52B9" w:rsidRPr="000E52B9">
        <w:rPr>
          <w:lang w:val="fr-FR"/>
        </w:rPr>
        <w:t>km)</w:t>
      </w:r>
    </w:p>
    <w:p w14:paraId="79F42E3A" w14:textId="77777777" w:rsidR="001A6024" w:rsidRPr="00351E80" w:rsidRDefault="001A6024">
      <w:pPr>
        <w:rPr>
          <w:lang w:val="fr-FR"/>
        </w:rPr>
      </w:pPr>
      <w:r>
        <w:rPr>
          <w:lang w:val="fr-FR"/>
        </w:rPr>
        <w:t>L’histogramme au-dessous montre la distribution des distances.</w:t>
      </w:r>
    </w:p>
    <w:p w14:paraId="279E65B3" w14:textId="77777777" w:rsidR="00351E80" w:rsidRDefault="00351E80">
      <w:r w:rsidRPr="00E544F7">
        <w:rPr>
          <w:noProof/>
          <w:lang w:eastAsia="en-GB"/>
        </w:rPr>
        <w:lastRenderedPageBreak/>
        <w:drawing>
          <wp:inline distT="0" distB="0" distL="0" distR="0" wp14:anchorId="02B05CF9" wp14:editId="42EB60DF">
            <wp:extent cx="3905379" cy="2842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53" cy="285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CDE"/>
    <w:multiLevelType w:val="hybridMultilevel"/>
    <w:tmpl w:val="7E12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2C5"/>
    <w:multiLevelType w:val="hybridMultilevel"/>
    <w:tmpl w:val="75862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7670C"/>
    <w:multiLevelType w:val="hybridMultilevel"/>
    <w:tmpl w:val="32704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A3C0D"/>
    <w:multiLevelType w:val="hybridMultilevel"/>
    <w:tmpl w:val="FFB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80"/>
    <w:rsid w:val="000E52B9"/>
    <w:rsid w:val="00124367"/>
    <w:rsid w:val="001A1F88"/>
    <w:rsid w:val="001A6024"/>
    <w:rsid w:val="001B12A3"/>
    <w:rsid w:val="001D0CD3"/>
    <w:rsid w:val="002341DB"/>
    <w:rsid w:val="00244499"/>
    <w:rsid w:val="00257447"/>
    <w:rsid w:val="002609E4"/>
    <w:rsid w:val="00260D17"/>
    <w:rsid w:val="00351E80"/>
    <w:rsid w:val="003E1B9D"/>
    <w:rsid w:val="003F42B3"/>
    <w:rsid w:val="004F1C08"/>
    <w:rsid w:val="00515CF3"/>
    <w:rsid w:val="005B18CD"/>
    <w:rsid w:val="00642E30"/>
    <w:rsid w:val="006B2CF8"/>
    <w:rsid w:val="00705D75"/>
    <w:rsid w:val="00721885"/>
    <w:rsid w:val="00790BCC"/>
    <w:rsid w:val="0086712C"/>
    <w:rsid w:val="00942EDD"/>
    <w:rsid w:val="009D688F"/>
    <w:rsid w:val="00A666A4"/>
    <w:rsid w:val="00AF113C"/>
    <w:rsid w:val="00B3068C"/>
    <w:rsid w:val="00BE0781"/>
    <w:rsid w:val="00EC34AF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99B8"/>
  <w15:chartTrackingRefBased/>
  <w15:docId w15:val="{CF20C8A0-B0E2-4BD5-979A-EF9C90A8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2F6A624D734A8CA923477521A3F1" ma:contentTypeVersion="13" ma:contentTypeDescription="Create a new document." ma:contentTypeScope="" ma:versionID="669bc20e688b5d3ebcd1785e357d1312">
  <xsd:schema xmlns:xsd="http://www.w3.org/2001/XMLSchema" xmlns:xs="http://www.w3.org/2001/XMLSchema" xmlns:p="http://schemas.microsoft.com/office/2006/metadata/properties" xmlns:ns3="515c3173-fd22-40ec-a8e5-4dba9f80ccb5" xmlns:ns4="d84b79e4-267a-4fd3-9115-fc46c6433b9f" targetNamespace="http://schemas.microsoft.com/office/2006/metadata/properties" ma:root="true" ma:fieldsID="6c851332d55fdee01684f8e9ad8220c6" ns3:_="" ns4:_="">
    <xsd:import namespace="515c3173-fd22-40ec-a8e5-4dba9f80ccb5"/>
    <xsd:import namespace="d84b79e4-267a-4fd3-9115-fc46c6433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3173-fd22-40ec-a8e5-4dba9f80c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79e4-267a-4fd3-9115-fc46c6433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3CF9B-B564-483E-BAF4-85E4E6EA9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c3173-fd22-40ec-a8e5-4dba9f80ccb5"/>
    <ds:schemaRef ds:uri="d84b79e4-267a-4fd3-9115-fc46c6433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51F78-05F7-4046-9726-0CD2F23AA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E8351-37A2-4C0D-99CE-3A9A3D869BE0}">
  <ds:schemaRefs>
    <ds:schemaRef ds:uri="http://schemas.microsoft.com/office/2006/documentManagement/types"/>
    <ds:schemaRef ds:uri="d84b79e4-267a-4fd3-9115-fc46c6433b9f"/>
    <ds:schemaRef ds:uri="http://purl.org/dc/elements/1.1/"/>
    <ds:schemaRef ds:uri="http://schemas.microsoft.com/office/2006/metadata/properties"/>
    <ds:schemaRef ds:uri="515c3173-fd22-40ec-a8e5-4dba9f80ccb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6819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Richardson</dc:creator>
  <cp:keywords/>
  <dc:description/>
  <cp:lastModifiedBy>Matthieu Baudry</cp:lastModifiedBy>
  <cp:revision>2</cp:revision>
  <dcterms:created xsi:type="dcterms:W3CDTF">2020-10-19T14:40:00Z</dcterms:created>
  <dcterms:modified xsi:type="dcterms:W3CDTF">2020-10-19T14:40:00Z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0x010100B9602F6A624D734A8CA923477521A3F1</vt:lpwstr>
  </property>
</Properties>
</file>