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F178" w14:textId="2B0F2E93" w:rsidR="00D83D48" w:rsidRPr="00257D0C" w:rsidRDefault="00E74A74" w:rsidP="00E74A74">
      <w:pPr>
        <w:spacing w:line="276" w:lineRule="auto"/>
        <w:jc w:val="center"/>
        <w:rPr>
          <w:rFonts w:ascii="Candara" w:hAnsi="Candara" w:cs="Arial"/>
          <w:b/>
          <w:sz w:val="32"/>
          <w:szCs w:val="32"/>
          <w:u w:val="single"/>
          <w:lang w:val="fr-FR"/>
        </w:rPr>
      </w:pPr>
      <w:r w:rsidRPr="00257D0C">
        <w:rPr>
          <w:rFonts w:ascii="Candara" w:hAnsi="Candara" w:cs="Arial"/>
          <w:b/>
          <w:sz w:val="32"/>
          <w:szCs w:val="32"/>
          <w:u w:val="single"/>
          <w:lang w:val="fr-FR"/>
        </w:rPr>
        <w:t>TERME DE REFERENCE(TDR)</w:t>
      </w:r>
      <w:r w:rsidR="00D9157C" w:rsidRPr="00257D0C">
        <w:rPr>
          <w:rFonts w:ascii="Candara" w:hAnsi="Candara" w:cs="Arial"/>
          <w:b/>
          <w:sz w:val="32"/>
          <w:szCs w:val="32"/>
          <w:u w:val="single"/>
          <w:lang w:val="fr-FR"/>
        </w:rPr>
        <w:t>/LQAS</w:t>
      </w:r>
    </w:p>
    <w:p w14:paraId="4246FF75" w14:textId="77777777" w:rsidR="00D83D48" w:rsidRDefault="00D83D48" w:rsidP="00D83D48">
      <w:pPr>
        <w:spacing w:line="276" w:lineRule="auto"/>
        <w:jc w:val="both"/>
        <w:rPr>
          <w:rFonts w:ascii="Candara" w:hAnsi="Candara" w:cs="Arial"/>
          <w:b/>
          <w:sz w:val="24"/>
          <w:szCs w:val="24"/>
          <w:lang w:val="fr-FR"/>
        </w:rPr>
      </w:pPr>
    </w:p>
    <w:p w14:paraId="1593C532" w14:textId="77777777" w:rsidR="00F553FA" w:rsidRDefault="00F553FA" w:rsidP="00D83D48">
      <w:pPr>
        <w:spacing w:line="276" w:lineRule="auto"/>
        <w:jc w:val="both"/>
        <w:rPr>
          <w:rFonts w:ascii="Candara" w:hAnsi="Candara" w:cs="Arial"/>
          <w:b/>
          <w:sz w:val="24"/>
          <w:szCs w:val="24"/>
          <w:lang w:val="fr-FR"/>
        </w:rPr>
      </w:pPr>
    </w:p>
    <w:p w14:paraId="53856B8E" w14:textId="066994BB" w:rsidR="00F553FA" w:rsidRPr="00C002EC" w:rsidRDefault="00AA749A" w:rsidP="00F553FA">
      <w:pPr>
        <w:spacing w:line="276" w:lineRule="auto"/>
        <w:jc w:val="both"/>
        <w:rPr>
          <w:rFonts w:ascii="Candara" w:hAnsi="Candara" w:cs="Arial"/>
          <w:b/>
          <w:sz w:val="28"/>
          <w:szCs w:val="28"/>
          <w:lang w:val="fr-FR"/>
        </w:rPr>
      </w:pPr>
      <w:r>
        <w:rPr>
          <w:rFonts w:ascii="Candara" w:hAnsi="Candara" w:cs="Arial"/>
          <w:b/>
          <w:sz w:val="28"/>
          <w:szCs w:val="28"/>
          <w:lang w:val="fr-FR"/>
        </w:rPr>
        <w:t xml:space="preserve">1. </w:t>
      </w:r>
      <w:r w:rsidR="00F553FA" w:rsidRPr="00C002EC">
        <w:rPr>
          <w:rFonts w:ascii="Candara" w:hAnsi="Candara" w:cs="Arial"/>
          <w:b/>
          <w:sz w:val="28"/>
          <w:szCs w:val="28"/>
          <w:lang w:val="fr-FR"/>
        </w:rPr>
        <w:t>Contexte/Justification</w:t>
      </w:r>
    </w:p>
    <w:p w14:paraId="407BFD47" w14:textId="77777777" w:rsidR="00F553FA" w:rsidRDefault="00F553FA" w:rsidP="00F553FA">
      <w:pPr>
        <w:spacing w:line="276" w:lineRule="auto"/>
        <w:jc w:val="both"/>
        <w:rPr>
          <w:rFonts w:ascii="Candara" w:hAnsi="Candara" w:cs="Arial"/>
          <w:b/>
          <w:sz w:val="24"/>
          <w:szCs w:val="24"/>
          <w:lang w:val="fr-FR"/>
        </w:rPr>
      </w:pPr>
    </w:p>
    <w:p w14:paraId="6FB06CB3" w14:textId="3B13663E" w:rsidR="00F553FA" w:rsidRPr="00F544E6" w:rsidRDefault="00F553FA" w:rsidP="00F544E6">
      <w:pPr>
        <w:spacing w:after="120" w:line="360" w:lineRule="auto"/>
        <w:jc w:val="both"/>
        <w:rPr>
          <w:rFonts w:ascii="Candara" w:hAnsi="Candara" w:cs="Arial"/>
          <w:sz w:val="22"/>
          <w:szCs w:val="22"/>
          <w:lang w:val="fr-FR"/>
        </w:rPr>
      </w:pPr>
      <w:r w:rsidRPr="00F544E6">
        <w:rPr>
          <w:rFonts w:ascii="Candara" w:hAnsi="Candara" w:cs="Arial"/>
          <w:sz w:val="22"/>
          <w:szCs w:val="22"/>
          <w:lang w:val="fr-FR"/>
        </w:rPr>
        <w:t>Le Tchad à l’instar des autres pays de Malaria consortium évalue la mise en œuvre des cycles de la campagne CPS à travers une</w:t>
      </w:r>
      <w:r w:rsidR="005030A1">
        <w:rPr>
          <w:rFonts w:ascii="Candara" w:hAnsi="Candara" w:cs="Arial"/>
          <w:sz w:val="22"/>
          <w:szCs w:val="22"/>
          <w:lang w:val="fr-FR"/>
        </w:rPr>
        <w:t xml:space="preserve"> évaluation</w:t>
      </w:r>
      <w:r w:rsidRPr="00F544E6">
        <w:rPr>
          <w:rFonts w:ascii="Candara" w:hAnsi="Candara" w:cs="Arial"/>
          <w:sz w:val="22"/>
          <w:szCs w:val="22"/>
          <w:lang w:val="fr-FR"/>
        </w:rPr>
        <w:t xml:space="preserve"> dite </w:t>
      </w:r>
      <w:r w:rsidR="005030A1">
        <w:rPr>
          <w:rFonts w:ascii="Candara" w:hAnsi="Candara" w:cs="Arial"/>
          <w:sz w:val="22"/>
          <w:szCs w:val="22"/>
          <w:lang w:val="fr-FR"/>
        </w:rPr>
        <w:t xml:space="preserve">enquête </w:t>
      </w:r>
      <w:r w:rsidRPr="00F544E6">
        <w:rPr>
          <w:rFonts w:ascii="Candara" w:hAnsi="Candara" w:cs="Arial"/>
          <w:sz w:val="22"/>
          <w:szCs w:val="22"/>
          <w:lang w:val="fr-FR"/>
        </w:rPr>
        <w:t xml:space="preserve">de </w:t>
      </w:r>
      <w:r w:rsidR="005030A1">
        <w:rPr>
          <w:rFonts w:ascii="Candara" w:hAnsi="Candara" w:cs="Arial"/>
          <w:sz w:val="22"/>
          <w:szCs w:val="22"/>
          <w:lang w:val="fr-FR"/>
        </w:rPr>
        <w:t>fin de cycle (LQAS)</w:t>
      </w:r>
      <w:r w:rsidRPr="00F544E6">
        <w:rPr>
          <w:rFonts w:ascii="Candara" w:hAnsi="Candara" w:cs="Arial"/>
          <w:sz w:val="22"/>
          <w:szCs w:val="22"/>
          <w:lang w:val="fr-FR"/>
        </w:rPr>
        <w:t xml:space="preserve">. Celle-ci est réalisée par Malaria Consortium à la fin de </w:t>
      </w:r>
      <w:r w:rsidR="005030A1">
        <w:rPr>
          <w:rFonts w:ascii="Candara" w:hAnsi="Candara" w:cs="Arial"/>
          <w:sz w:val="22"/>
          <w:szCs w:val="22"/>
          <w:lang w:val="fr-FR"/>
        </w:rPr>
        <w:t xml:space="preserve">chaque cycle durant </w:t>
      </w:r>
      <w:r w:rsidRPr="00F544E6">
        <w:rPr>
          <w:rFonts w:ascii="Candara" w:hAnsi="Candara" w:cs="Arial"/>
          <w:sz w:val="22"/>
          <w:szCs w:val="22"/>
          <w:lang w:val="fr-FR"/>
        </w:rPr>
        <w:t xml:space="preserve">la campagne pour déterminer dans quelle mesure le projet de chimio prévention du paludisme saisonnier de Malaria Consortium a permis de traiter avec succès les enfants de </w:t>
      </w:r>
      <w:r w:rsidR="005030A1">
        <w:rPr>
          <w:rFonts w:ascii="Candara" w:hAnsi="Candara" w:cs="Arial"/>
          <w:sz w:val="22"/>
          <w:szCs w:val="22"/>
          <w:lang w:val="fr-FR"/>
        </w:rPr>
        <w:t>3 – 59 mois au Tchad</w:t>
      </w:r>
      <w:r w:rsidRPr="00F544E6">
        <w:rPr>
          <w:rFonts w:ascii="Candara" w:hAnsi="Candara" w:cs="Arial"/>
          <w:sz w:val="22"/>
          <w:szCs w:val="22"/>
          <w:lang w:val="fr-FR"/>
        </w:rPr>
        <w:t>.</w:t>
      </w:r>
    </w:p>
    <w:p w14:paraId="5E46FC0C" w14:textId="72463D4D" w:rsidR="00F553FA" w:rsidRPr="00F544E6" w:rsidRDefault="00F553FA" w:rsidP="00F544E6">
      <w:pPr>
        <w:spacing w:line="360" w:lineRule="auto"/>
        <w:jc w:val="both"/>
        <w:rPr>
          <w:rFonts w:ascii="Candara" w:hAnsi="Candara" w:cs="Arial"/>
          <w:sz w:val="22"/>
          <w:szCs w:val="22"/>
          <w:lang w:val="fr-FR"/>
        </w:rPr>
      </w:pPr>
      <w:r w:rsidRPr="00F544E6">
        <w:rPr>
          <w:rFonts w:ascii="Candara" w:hAnsi="Candara" w:cs="Arial"/>
          <w:sz w:val="22"/>
          <w:szCs w:val="22"/>
          <w:lang w:val="fr-FR"/>
        </w:rPr>
        <w:t>La méthodologie utilisée est celle de LQAS qui est une méthode standard d’évaluation du programme en analysant les données recueillies auprès d’un petit échantillon. Elle a été développée dans les années 1920 pour des contrôles de qualité dans l’industrie.  Au milieu des années 80 elle a été adaptée pour évaluer des programmes de santé.  En 1991, un rapport de l’Organisation Mondiale de la Santé (OMS) sur les méthodes épidémiologiques et statistiques pour l’évaluation rapide des systèmes de santé a conclu que le LQAS était une des méthodes disponible</w:t>
      </w:r>
      <w:r w:rsidR="005030A1">
        <w:rPr>
          <w:rFonts w:ascii="Candara" w:hAnsi="Candara" w:cs="Arial"/>
          <w:sz w:val="22"/>
          <w:szCs w:val="22"/>
          <w:lang w:val="fr-FR"/>
        </w:rPr>
        <w:t>s</w:t>
      </w:r>
      <w:r w:rsidRPr="00F544E6">
        <w:rPr>
          <w:rFonts w:ascii="Candara" w:hAnsi="Candara" w:cs="Arial"/>
          <w:sz w:val="22"/>
          <w:szCs w:val="22"/>
          <w:lang w:val="fr-FR"/>
        </w:rPr>
        <w:t xml:space="preserve"> la plus pratique et a encouragé son développement pour continuer à surveiller les programmes</w:t>
      </w:r>
      <w:r w:rsidR="00014DB2" w:rsidRPr="00F544E6">
        <w:rPr>
          <w:rFonts w:ascii="Candara" w:hAnsi="Candara" w:cs="Arial"/>
          <w:sz w:val="22"/>
          <w:szCs w:val="22"/>
          <w:lang w:val="fr-FR"/>
        </w:rPr>
        <w:t xml:space="preserve"> de santé </w:t>
      </w:r>
      <w:r w:rsidRPr="00F544E6">
        <w:rPr>
          <w:rFonts w:ascii="Candara" w:hAnsi="Candara" w:cs="Arial"/>
          <w:sz w:val="22"/>
          <w:szCs w:val="22"/>
          <w:lang w:val="fr-FR"/>
        </w:rPr>
        <w:t>(</w:t>
      </w:r>
      <w:proofErr w:type="spellStart"/>
      <w:r w:rsidRPr="00F544E6">
        <w:rPr>
          <w:rFonts w:ascii="Candara" w:hAnsi="Candara" w:cs="Arial"/>
          <w:sz w:val="22"/>
          <w:szCs w:val="22"/>
          <w:lang w:val="fr-FR"/>
        </w:rPr>
        <w:t>Measure</w:t>
      </w:r>
      <w:proofErr w:type="spellEnd"/>
      <w:r w:rsidRPr="00F544E6">
        <w:rPr>
          <w:rFonts w:ascii="Candara" w:hAnsi="Candara" w:cs="Arial"/>
          <w:sz w:val="22"/>
          <w:szCs w:val="22"/>
          <w:lang w:val="fr-FR"/>
        </w:rPr>
        <w:t xml:space="preserve"> 1998). Les informations recueillies au cours de l’enquête seront cruciales pour améliorer la mise en œuvre de la CPS en aidant à corriger les éventuels écarts de couverture dans les cycles suivants.</w:t>
      </w:r>
    </w:p>
    <w:p w14:paraId="6100DAFD" w14:textId="77777777" w:rsidR="00F553FA" w:rsidRDefault="00F553FA" w:rsidP="00D83D48">
      <w:pPr>
        <w:spacing w:line="276" w:lineRule="auto"/>
        <w:jc w:val="both"/>
        <w:rPr>
          <w:rFonts w:ascii="Candara" w:hAnsi="Candara" w:cs="Arial"/>
          <w:b/>
          <w:sz w:val="24"/>
          <w:szCs w:val="24"/>
          <w:lang w:val="fr-FR"/>
        </w:rPr>
      </w:pPr>
    </w:p>
    <w:p w14:paraId="26E6B0AE" w14:textId="1ABCFCE1" w:rsidR="00F553FA" w:rsidRPr="00C002EC" w:rsidRDefault="005030A1" w:rsidP="00F544E6">
      <w:pPr>
        <w:spacing w:line="360" w:lineRule="auto"/>
        <w:jc w:val="both"/>
        <w:rPr>
          <w:rFonts w:ascii="Candara" w:hAnsi="Candara" w:cs="Arial"/>
          <w:b/>
          <w:sz w:val="28"/>
          <w:szCs w:val="28"/>
          <w:lang w:val="fr-FR"/>
        </w:rPr>
      </w:pPr>
      <w:r>
        <w:rPr>
          <w:rFonts w:ascii="Candara" w:hAnsi="Candara" w:cs="Arial"/>
          <w:b/>
          <w:sz w:val="28"/>
          <w:szCs w:val="28"/>
          <w:lang w:val="fr-FR"/>
        </w:rPr>
        <w:t>2.</w:t>
      </w:r>
      <w:r w:rsidRPr="00C002EC">
        <w:rPr>
          <w:rFonts w:ascii="Candara" w:hAnsi="Candara" w:cs="Arial"/>
          <w:b/>
          <w:sz w:val="28"/>
          <w:szCs w:val="28"/>
          <w:lang w:val="fr-FR"/>
        </w:rPr>
        <w:t xml:space="preserve"> Objectifs</w:t>
      </w:r>
      <w:r w:rsidR="00F553FA" w:rsidRPr="00C002EC">
        <w:rPr>
          <w:rFonts w:ascii="Candara" w:hAnsi="Candara" w:cs="Arial"/>
          <w:b/>
          <w:sz w:val="28"/>
          <w:szCs w:val="28"/>
          <w:lang w:val="fr-FR"/>
        </w:rPr>
        <w:t xml:space="preserve"> </w:t>
      </w:r>
    </w:p>
    <w:p w14:paraId="673532A3" w14:textId="67716E06" w:rsidR="00F553FA" w:rsidRPr="00F544E6" w:rsidRDefault="00F553FA" w:rsidP="00F544E6">
      <w:pPr>
        <w:spacing w:after="120" w:line="360" w:lineRule="auto"/>
        <w:jc w:val="both"/>
        <w:rPr>
          <w:rFonts w:ascii="Candara" w:hAnsi="Candara" w:cs="Arial"/>
          <w:sz w:val="22"/>
          <w:szCs w:val="22"/>
          <w:lang w:val="fr-FR"/>
        </w:rPr>
      </w:pPr>
      <w:r w:rsidRPr="00F544E6">
        <w:rPr>
          <w:rFonts w:ascii="Candara" w:hAnsi="Candara" w:cs="Arial"/>
          <w:sz w:val="22"/>
          <w:szCs w:val="22"/>
          <w:lang w:val="fr-FR"/>
        </w:rPr>
        <w:t xml:space="preserve">L’objectif principal de cette enquête de fin des cycles de la CPS est de déterminer dans quelle mesure le projet de chimio prévention du paludisme saisonnier de Malaria Consortium a permis de traiter avec succès les enfants de 3 – 59 mois au Tchad, particulièrement dans les 27 Districts Sanitaires où elle intervient. </w:t>
      </w:r>
    </w:p>
    <w:p w14:paraId="7EE494B7" w14:textId="77777777" w:rsidR="00F553FA" w:rsidRPr="00F544E6" w:rsidRDefault="00F553FA" w:rsidP="00F544E6">
      <w:pPr>
        <w:spacing w:after="120" w:line="360" w:lineRule="auto"/>
        <w:jc w:val="both"/>
        <w:rPr>
          <w:rFonts w:ascii="Candara" w:hAnsi="Candara" w:cs="Arial"/>
          <w:sz w:val="22"/>
          <w:szCs w:val="22"/>
          <w:lang w:val="fr-FR"/>
        </w:rPr>
      </w:pPr>
      <w:r w:rsidRPr="00F544E6">
        <w:rPr>
          <w:rFonts w:ascii="Candara" w:hAnsi="Candara" w:cs="Arial"/>
          <w:sz w:val="22"/>
          <w:szCs w:val="22"/>
          <w:lang w:val="fr-FR"/>
        </w:rPr>
        <w:t>Cette enquête vise à répondre à quatre questions fondamentales :</w:t>
      </w:r>
    </w:p>
    <w:p w14:paraId="222A3A33" w14:textId="77777777" w:rsidR="00F553FA" w:rsidRPr="00F544E6" w:rsidRDefault="00F553FA" w:rsidP="00E90A2B">
      <w:pPr>
        <w:spacing w:after="120" w:line="360" w:lineRule="auto"/>
        <w:jc w:val="both"/>
        <w:rPr>
          <w:rFonts w:ascii="Candara" w:hAnsi="Candara" w:cs="Arial"/>
          <w:sz w:val="22"/>
          <w:szCs w:val="22"/>
          <w:lang w:val="fr-FR"/>
        </w:rPr>
      </w:pPr>
      <w:r w:rsidRPr="00F544E6">
        <w:rPr>
          <w:rFonts w:ascii="Candara" w:hAnsi="Candara" w:cs="Arial"/>
          <w:sz w:val="22"/>
          <w:szCs w:val="22"/>
          <w:lang w:val="fr-FR"/>
        </w:rPr>
        <w:t>1) Couverture : tous les enfants cibles ont-ils bénéficié de la CPS, sinon quels districts cibles ont été déficients ?</w:t>
      </w:r>
    </w:p>
    <w:p w14:paraId="49078AF9" w14:textId="77777777" w:rsidR="00F553FA" w:rsidRPr="00F544E6" w:rsidRDefault="00F553FA" w:rsidP="00E90A2B">
      <w:pPr>
        <w:spacing w:after="120" w:line="360" w:lineRule="auto"/>
        <w:jc w:val="both"/>
        <w:rPr>
          <w:rFonts w:ascii="Candara" w:hAnsi="Candara" w:cs="Arial"/>
          <w:sz w:val="22"/>
          <w:szCs w:val="22"/>
          <w:lang w:val="fr-FR"/>
        </w:rPr>
      </w:pPr>
      <w:r w:rsidRPr="00F544E6">
        <w:rPr>
          <w:rFonts w:ascii="Candara" w:hAnsi="Candara" w:cs="Arial"/>
          <w:sz w:val="22"/>
          <w:szCs w:val="22"/>
          <w:lang w:val="fr-FR"/>
        </w:rPr>
        <w:t>2) Respect du protocole : les enfants traités ont-ils reçus les traitements complets (DOT le premier jour, administration des doses des jours 2 et 3) ?</w:t>
      </w:r>
    </w:p>
    <w:p w14:paraId="416B4122" w14:textId="77777777" w:rsidR="00F553FA" w:rsidRPr="00F544E6" w:rsidRDefault="00F553FA" w:rsidP="00E90A2B">
      <w:pPr>
        <w:spacing w:after="120" w:line="360" w:lineRule="auto"/>
        <w:jc w:val="both"/>
        <w:rPr>
          <w:rFonts w:ascii="Candara" w:hAnsi="Candara" w:cs="Arial"/>
          <w:sz w:val="22"/>
          <w:szCs w:val="22"/>
          <w:lang w:val="fr-FR"/>
        </w:rPr>
      </w:pPr>
      <w:r w:rsidRPr="00F544E6">
        <w:rPr>
          <w:rFonts w:ascii="Candara" w:hAnsi="Candara" w:cs="Arial"/>
          <w:sz w:val="22"/>
          <w:szCs w:val="22"/>
          <w:lang w:val="fr-FR"/>
        </w:rPr>
        <w:t xml:space="preserve">3) Connaissance et information sur la CPS : Les responsables d’enfants sont-elles informées et possèdent-elles une bonne connaissance de la CPS ? </w:t>
      </w:r>
    </w:p>
    <w:p w14:paraId="4AAE848D" w14:textId="77777777" w:rsidR="00F553FA" w:rsidRPr="00F544E6" w:rsidRDefault="00F553FA" w:rsidP="00E90A2B">
      <w:pPr>
        <w:spacing w:after="120" w:line="360" w:lineRule="auto"/>
        <w:jc w:val="both"/>
        <w:rPr>
          <w:rFonts w:ascii="Candara" w:hAnsi="Candara" w:cs="Arial"/>
          <w:sz w:val="22"/>
          <w:szCs w:val="22"/>
          <w:lang w:val="fr-FR"/>
        </w:rPr>
      </w:pPr>
      <w:r w:rsidRPr="00F544E6">
        <w:rPr>
          <w:rFonts w:ascii="Candara" w:hAnsi="Candara" w:cs="Arial"/>
          <w:sz w:val="22"/>
          <w:szCs w:val="22"/>
          <w:lang w:val="fr-FR"/>
        </w:rPr>
        <w:t xml:space="preserve">4) Protection contre COVID-19 : Les agents de santé communautaires utilisent-ils des équipements de </w:t>
      </w:r>
      <w:r w:rsidRPr="00F544E6">
        <w:rPr>
          <w:rFonts w:ascii="Candara" w:hAnsi="Candara" w:cs="Arial"/>
          <w:sz w:val="22"/>
          <w:szCs w:val="22"/>
          <w:lang w:val="fr-FR"/>
        </w:rPr>
        <w:lastRenderedPageBreak/>
        <w:t>protection individuelle ? Livrent-ils les informations sur la prévention de COVID-19 à la communauté ?</w:t>
      </w:r>
    </w:p>
    <w:p w14:paraId="5795BFAA" w14:textId="57DD0971" w:rsidR="00F553FA" w:rsidRPr="005030A1" w:rsidRDefault="00F553FA" w:rsidP="005030A1">
      <w:pPr>
        <w:pStyle w:val="BodyText"/>
        <w:spacing w:after="120" w:line="360" w:lineRule="auto"/>
        <w:rPr>
          <w:rFonts w:ascii="Candara" w:eastAsia="Times New Roman" w:hAnsi="Candara" w:cs="Arial"/>
          <w:color w:val="auto"/>
          <w:sz w:val="22"/>
          <w:lang w:val="fr-FR"/>
        </w:rPr>
      </w:pPr>
      <w:r w:rsidRPr="00F544E6">
        <w:rPr>
          <w:rFonts w:ascii="Candara" w:eastAsia="Times New Roman" w:hAnsi="Candara" w:cs="Arial"/>
          <w:color w:val="auto"/>
          <w:sz w:val="22"/>
          <w:lang w:val="fr-FR"/>
        </w:rPr>
        <w:t>Les cibles de cette enquête LQAS sont les mères / gardiennes des enfants et les enfants de 3 à 59 mois ayant reçu un traitement lor</w:t>
      </w:r>
      <w:r w:rsidR="005030A1">
        <w:rPr>
          <w:rFonts w:ascii="Candara" w:eastAsia="Times New Roman" w:hAnsi="Candara" w:cs="Arial"/>
          <w:color w:val="auto"/>
          <w:sz w:val="22"/>
          <w:lang w:val="fr-FR"/>
        </w:rPr>
        <w:t>s de la campagne CPS précédente</w:t>
      </w:r>
    </w:p>
    <w:p w14:paraId="3BA6BECC" w14:textId="46504912" w:rsidR="00D83D48" w:rsidRPr="007104FF" w:rsidRDefault="005030A1" w:rsidP="00D83D48">
      <w:pPr>
        <w:spacing w:line="276" w:lineRule="auto"/>
        <w:jc w:val="both"/>
        <w:rPr>
          <w:rFonts w:ascii="Candara" w:hAnsi="Candara" w:cs="Arial"/>
          <w:b/>
          <w:sz w:val="24"/>
          <w:szCs w:val="24"/>
          <w:lang w:val="fr-FR"/>
        </w:rPr>
      </w:pPr>
      <w:r>
        <w:rPr>
          <w:rFonts w:ascii="Candara" w:hAnsi="Candara" w:cs="Arial"/>
          <w:b/>
          <w:sz w:val="24"/>
          <w:szCs w:val="24"/>
          <w:lang w:val="fr-FR"/>
        </w:rPr>
        <w:t>3.</w:t>
      </w:r>
      <w:r w:rsidRPr="007104FF">
        <w:rPr>
          <w:rFonts w:ascii="Candara" w:hAnsi="Candara" w:cs="Arial"/>
          <w:b/>
          <w:sz w:val="24"/>
          <w:szCs w:val="24"/>
          <w:lang w:val="fr-FR"/>
        </w:rPr>
        <w:t xml:space="preserve"> Plan</w:t>
      </w:r>
      <w:r w:rsidR="00D83D48" w:rsidRPr="007104FF">
        <w:rPr>
          <w:rFonts w:ascii="Candara" w:hAnsi="Candara" w:cs="Arial"/>
          <w:b/>
          <w:sz w:val="24"/>
          <w:szCs w:val="24"/>
          <w:lang w:val="fr-FR"/>
        </w:rPr>
        <w:t xml:space="preserve"> d’échantillonnage de l’enquête de couverture de cycles CPS Tchad 20</w:t>
      </w:r>
      <w:r w:rsidR="00C32371">
        <w:rPr>
          <w:rFonts w:ascii="Candara" w:hAnsi="Candara" w:cs="Arial"/>
          <w:b/>
          <w:sz w:val="24"/>
          <w:szCs w:val="24"/>
          <w:lang w:val="fr-FR"/>
        </w:rPr>
        <w:t>21</w:t>
      </w:r>
    </w:p>
    <w:p w14:paraId="2CB60CFB" w14:textId="77777777" w:rsidR="00F544E6" w:rsidRDefault="00F544E6" w:rsidP="00D83D48">
      <w:pPr>
        <w:spacing w:after="120" w:line="276" w:lineRule="auto"/>
        <w:jc w:val="both"/>
        <w:rPr>
          <w:rFonts w:ascii="Candara" w:hAnsi="Candara" w:cs="Arial"/>
          <w:sz w:val="24"/>
          <w:szCs w:val="24"/>
          <w:lang w:val="fr-FR"/>
        </w:rPr>
      </w:pPr>
    </w:p>
    <w:p w14:paraId="1C46FD41" w14:textId="1B7B84C1"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L’aspect le plus important du plan d’échantillonnage à adopter consiste à offrir une image plus fidèle de l’atteinte des objectifs de la CPS et à comprendre le degré du respect du protocole CPS. Les informations recueillies au cours de l’enquête seront cruciales pour améliorer la mise en œuvre de la CPS en aidant à corriger les éventuels écarts de couverture dans les cycles suivants.</w:t>
      </w:r>
    </w:p>
    <w:p w14:paraId="6A6E7AD5" w14:textId="77777777"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Cette enquête vise à répondre à quatre questions fondamentales :</w:t>
      </w:r>
    </w:p>
    <w:p w14:paraId="2B6B1D83" w14:textId="77777777" w:rsidR="00D83D48" w:rsidRPr="00F544E6" w:rsidRDefault="00D83D48" w:rsidP="005030A1">
      <w:pPr>
        <w:spacing w:after="120" w:line="276" w:lineRule="auto"/>
        <w:ind w:left="708"/>
        <w:jc w:val="both"/>
        <w:rPr>
          <w:rFonts w:ascii="Candara" w:hAnsi="Candara" w:cs="Arial"/>
          <w:sz w:val="22"/>
          <w:szCs w:val="22"/>
          <w:lang w:val="fr-FR"/>
        </w:rPr>
      </w:pPr>
      <w:r w:rsidRPr="00F544E6">
        <w:rPr>
          <w:rFonts w:ascii="Candara" w:hAnsi="Candara" w:cs="Arial"/>
          <w:sz w:val="22"/>
          <w:szCs w:val="22"/>
          <w:lang w:val="fr-FR"/>
        </w:rPr>
        <w:t>1) Couverture : tous les enfants cibles ont-ils bénéficié de la CPS, sinon quels districts cibles ont été déficients ?</w:t>
      </w:r>
    </w:p>
    <w:p w14:paraId="47580627" w14:textId="77777777" w:rsidR="00D83D48" w:rsidRPr="00F544E6" w:rsidRDefault="00D83D48" w:rsidP="005030A1">
      <w:pPr>
        <w:spacing w:after="120" w:line="276" w:lineRule="auto"/>
        <w:ind w:left="708"/>
        <w:jc w:val="both"/>
        <w:rPr>
          <w:rFonts w:ascii="Candara" w:hAnsi="Candara" w:cs="Arial"/>
          <w:sz w:val="22"/>
          <w:szCs w:val="22"/>
          <w:lang w:val="fr-FR"/>
        </w:rPr>
      </w:pPr>
      <w:r w:rsidRPr="00F544E6">
        <w:rPr>
          <w:rFonts w:ascii="Candara" w:hAnsi="Candara" w:cs="Arial"/>
          <w:sz w:val="22"/>
          <w:szCs w:val="22"/>
          <w:lang w:val="fr-FR"/>
        </w:rPr>
        <w:t>2) Respect du protocole : les enfants traités ont-ils reçus les traitements complets (DOT le premier jour, administration des doses des jours 2 et 3) ?</w:t>
      </w:r>
    </w:p>
    <w:p w14:paraId="16F0DEA9" w14:textId="77777777" w:rsidR="00D83D48" w:rsidRPr="00F544E6" w:rsidRDefault="00D83D48" w:rsidP="005030A1">
      <w:pPr>
        <w:spacing w:after="120" w:line="276" w:lineRule="auto"/>
        <w:ind w:left="708"/>
        <w:jc w:val="both"/>
        <w:rPr>
          <w:rFonts w:ascii="Candara" w:hAnsi="Candara" w:cs="Arial"/>
          <w:sz w:val="22"/>
          <w:szCs w:val="22"/>
          <w:lang w:val="fr-FR"/>
        </w:rPr>
      </w:pPr>
      <w:r w:rsidRPr="00F544E6">
        <w:rPr>
          <w:rFonts w:ascii="Candara" w:hAnsi="Candara" w:cs="Arial"/>
          <w:sz w:val="22"/>
          <w:szCs w:val="22"/>
          <w:lang w:val="fr-FR"/>
        </w:rPr>
        <w:t xml:space="preserve">3) Connaissance et information sur la CPS : Les responsables d’enfants sont-elles informées et possèdent-elles une bonne connaissance de la CPS ? </w:t>
      </w:r>
    </w:p>
    <w:p w14:paraId="319AC0BA" w14:textId="77777777" w:rsidR="00D83D48" w:rsidRPr="00F544E6" w:rsidRDefault="00D83D48" w:rsidP="005030A1">
      <w:pPr>
        <w:spacing w:after="120" w:line="276" w:lineRule="auto"/>
        <w:ind w:left="708"/>
        <w:jc w:val="both"/>
        <w:rPr>
          <w:rFonts w:ascii="Candara" w:hAnsi="Candara" w:cs="Arial"/>
          <w:sz w:val="22"/>
          <w:szCs w:val="22"/>
          <w:lang w:val="fr-FR"/>
        </w:rPr>
      </w:pPr>
      <w:r w:rsidRPr="00F544E6">
        <w:rPr>
          <w:rFonts w:ascii="Candara" w:hAnsi="Candara" w:cs="Arial"/>
          <w:sz w:val="22"/>
          <w:szCs w:val="22"/>
          <w:lang w:val="fr-FR"/>
        </w:rPr>
        <w:t>4) Protection contre COVID-19 : Les agents de santé communautaires utilisent-ils des équipements de protection individuelle ? Livrent-ils les informations sur la prévention de COVID-19 à la communauté ?</w:t>
      </w:r>
    </w:p>
    <w:p w14:paraId="18E0766A" w14:textId="77777777"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Pour répondre à ces questions, un choix judicieux du plan d'échantillonnage est primordial. Les informations suivantes devraient être prises en compte dans la sélection des unités d'échantillonnage.</w:t>
      </w:r>
    </w:p>
    <w:p w14:paraId="762B87FD" w14:textId="77777777"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1) L'enquête devrait permettre de générer des résultats à l’échelle des districts de santé.</w:t>
      </w:r>
    </w:p>
    <w:p w14:paraId="7F0CD9AF" w14:textId="77777777" w:rsidR="00D83D48" w:rsidRPr="00F544E6" w:rsidRDefault="00D83D48" w:rsidP="00D83D48">
      <w:pPr>
        <w:spacing w:after="120" w:line="276" w:lineRule="auto"/>
        <w:jc w:val="both"/>
        <w:rPr>
          <w:rFonts w:ascii="Candara" w:hAnsi="Candara" w:cs="Arial"/>
          <w:strike/>
          <w:sz w:val="22"/>
          <w:szCs w:val="22"/>
          <w:lang w:val="fr-FR"/>
        </w:rPr>
      </w:pPr>
      <w:r w:rsidRPr="00F544E6">
        <w:rPr>
          <w:rFonts w:ascii="Candara" w:hAnsi="Candara" w:cs="Arial"/>
          <w:sz w:val="22"/>
          <w:szCs w:val="22"/>
          <w:lang w:val="fr-FR"/>
        </w:rPr>
        <w:t xml:space="preserve">2) La sélection aléatoire des carrés/quartiers/villages se fera de manière aléatoire dans chaque zone de supervision constituée de 3 zones de responsabilités au sein des districts. </w:t>
      </w:r>
    </w:p>
    <w:p w14:paraId="2B081A9E" w14:textId="10CCCB8B"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 xml:space="preserve">3) La distribution de médicament CPS a été organisée sur la base de zone de responsabilité des centres de santé (CS). Une stratification basée sur les CS selon la pyramide sanitaire peut être envisagée. Ainsi, en répartissant les unités d'échantillonnage à tous les niveaux de la pyramide sanitaire, les enquêteurs saisiront d'autres facteurs de variabilité importants tels que la nature urbaine / rurale des communautés, le statut socio-économique des bénéficiaires et les « difficultés </w:t>
      </w:r>
      <w:r w:rsidR="00C32371" w:rsidRPr="00F544E6">
        <w:rPr>
          <w:rFonts w:ascii="Candara" w:hAnsi="Candara" w:cs="Arial"/>
          <w:sz w:val="22"/>
          <w:szCs w:val="22"/>
          <w:lang w:val="fr-FR"/>
        </w:rPr>
        <w:t>d’accessibilité »</w:t>
      </w:r>
      <w:r w:rsidRPr="00F544E6">
        <w:rPr>
          <w:rFonts w:ascii="Candara" w:hAnsi="Candara" w:cs="Arial"/>
          <w:sz w:val="22"/>
          <w:szCs w:val="22"/>
          <w:lang w:val="fr-FR"/>
        </w:rPr>
        <w:t xml:space="preserve"> aux formations sanitaires. Cependant, l'attribution d'unités d'échantillonnage à tous les niveaux de la pyramide sanitaire générera une mobilisation logistique importante pour un faible gain, car les enquêteurs devront se rendre dans </w:t>
      </w:r>
      <w:r w:rsidR="00791960" w:rsidRPr="00F544E6">
        <w:rPr>
          <w:rFonts w:ascii="Candara" w:hAnsi="Candara" w:cs="Arial"/>
          <w:sz w:val="22"/>
          <w:szCs w:val="22"/>
          <w:lang w:val="fr-FR"/>
        </w:rPr>
        <w:t>environ 300</w:t>
      </w:r>
      <w:r w:rsidRPr="00F544E6">
        <w:rPr>
          <w:rFonts w:ascii="Candara" w:hAnsi="Candara" w:cs="Arial"/>
          <w:sz w:val="22"/>
          <w:szCs w:val="22"/>
          <w:lang w:val="fr-FR"/>
        </w:rPr>
        <w:t xml:space="preserve"> centres de santé.</w:t>
      </w:r>
    </w:p>
    <w:p w14:paraId="70F1E59B" w14:textId="77777777"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4) Par ailleurs, bien que la délégation provinciale de la santé (DPS) soit une véritable entité administrative</w:t>
      </w:r>
      <w:r w:rsidRPr="00F544E6">
        <w:rPr>
          <w:rFonts w:ascii="Candara" w:hAnsi="Candara" w:cs="Arial"/>
          <w:color w:val="FF0000"/>
          <w:sz w:val="22"/>
          <w:szCs w:val="22"/>
          <w:lang w:val="fr-FR"/>
        </w:rPr>
        <w:t>,</w:t>
      </w:r>
      <w:r w:rsidRPr="00F544E6">
        <w:rPr>
          <w:rFonts w:ascii="Candara" w:hAnsi="Candara" w:cs="Arial"/>
          <w:sz w:val="22"/>
          <w:szCs w:val="22"/>
          <w:lang w:val="fr-FR"/>
        </w:rPr>
        <w:t xml:space="preserve"> l’intégration de ce niveau de stratification dans le schéma d’échantillonnage proposé risque de générer moins de gain statistique.</w:t>
      </w:r>
    </w:p>
    <w:p w14:paraId="0B024CB8" w14:textId="77777777"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 xml:space="preserve">5) Les CS ont été créés sur une base démographique et leur implantation tient compte de la distance maximale à parcourir qui ne peut excéder 10 km ou 2 heures à pied. Chaque district sanitaire compte entre 4 et 30 CS, selon la taille et la démographie. Le tableau ci-dessous donne un aperçu du nombre de </w:t>
      </w:r>
      <w:r w:rsidRPr="00F544E6">
        <w:rPr>
          <w:rFonts w:ascii="Candara" w:hAnsi="Candara" w:cs="Arial"/>
          <w:sz w:val="22"/>
          <w:szCs w:val="22"/>
          <w:lang w:val="fr-FR"/>
        </w:rPr>
        <w:lastRenderedPageBreak/>
        <w:t xml:space="preserve">DPS. </w:t>
      </w:r>
    </w:p>
    <w:p w14:paraId="7245E769" w14:textId="7E89FE71" w:rsidR="00D83D48" w:rsidRPr="00F544E6" w:rsidRDefault="00D83D48" w:rsidP="00D83D48">
      <w:pPr>
        <w:spacing w:after="120"/>
        <w:jc w:val="both"/>
        <w:rPr>
          <w:rFonts w:ascii="Candara" w:hAnsi="Candara" w:cs="Arial"/>
          <w:sz w:val="22"/>
          <w:szCs w:val="22"/>
          <w:lang w:val="fr-FR"/>
        </w:rPr>
      </w:pPr>
      <w:r w:rsidRPr="00F544E6">
        <w:rPr>
          <w:rFonts w:ascii="Candara" w:hAnsi="Candara" w:cs="Arial"/>
          <w:sz w:val="22"/>
          <w:szCs w:val="22"/>
          <w:lang w:val="fr-FR"/>
        </w:rPr>
        <w:t>Ainsi, nous obtenons a</w:t>
      </w:r>
      <w:r w:rsidR="00054F81" w:rsidRPr="00F544E6">
        <w:rPr>
          <w:rFonts w:ascii="Candara" w:hAnsi="Candara" w:cs="Arial"/>
          <w:sz w:val="22"/>
          <w:szCs w:val="22"/>
          <w:lang w:val="fr-FR"/>
        </w:rPr>
        <w:t xml:space="preserve">u total un échantillon d’environ </w:t>
      </w:r>
      <w:r w:rsidR="006D2505" w:rsidRPr="006D2505">
        <w:rPr>
          <w:rFonts w:ascii="Candara" w:hAnsi="Candara" w:cs="Arial"/>
          <w:b/>
          <w:sz w:val="22"/>
          <w:szCs w:val="22"/>
          <w:lang w:val="fr-FR"/>
        </w:rPr>
        <w:t>3625</w:t>
      </w:r>
      <w:r w:rsidR="00054F81" w:rsidRPr="00F544E6">
        <w:rPr>
          <w:rFonts w:ascii="Candara" w:hAnsi="Candara" w:cs="Arial"/>
          <w:b/>
          <w:sz w:val="22"/>
          <w:szCs w:val="22"/>
          <w:lang w:val="fr-FR"/>
        </w:rPr>
        <w:t xml:space="preserve"> </w:t>
      </w:r>
      <w:r w:rsidR="005D7990" w:rsidRPr="00F544E6">
        <w:rPr>
          <w:rFonts w:ascii="Candara" w:hAnsi="Candara" w:cs="Arial"/>
          <w:sz w:val="22"/>
          <w:szCs w:val="22"/>
          <w:lang w:val="fr-FR"/>
        </w:rPr>
        <w:t>concessions/ménag</w:t>
      </w:r>
      <w:r w:rsidR="007D04A6" w:rsidRPr="00F544E6">
        <w:rPr>
          <w:rFonts w:ascii="Candara" w:hAnsi="Candara" w:cs="Arial"/>
          <w:sz w:val="22"/>
          <w:szCs w:val="22"/>
          <w:lang w:val="fr-FR"/>
        </w:rPr>
        <w:t xml:space="preserve">es </w:t>
      </w:r>
      <w:r w:rsidR="007D04A6" w:rsidRPr="006D2505">
        <w:rPr>
          <w:rFonts w:ascii="Candara" w:hAnsi="Candara" w:cs="Arial"/>
          <w:sz w:val="22"/>
          <w:szCs w:val="22"/>
          <w:lang w:val="fr-FR"/>
        </w:rPr>
        <w:t>(</w:t>
      </w:r>
      <w:r w:rsidR="006D2505" w:rsidRPr="006D2505">
        <w:rPr>
          <w:rFonts w:ascii="Candara" w:hAnsi="Candara" w:cs="Arial"/>
          <w:b/>
          <w:sz w:val="22"/>
          <w:szCs w:val="22"/>
          <w:lang w:val="fr-FR"/>
        </w:rPr>
        <w:t>842</w:t>
      </w:r>
      <w:r w:rsidR="00054F81" w:rsidRPr="006D2505">
        <w:rPr>
          <w:rFonts w:ascii="Candara" w:hAnsi="Candara" w:cs="Arial"/>
          <w:sz w:val="22"/>
          <w:szCs w:val="22"/>
          <w:lang w:val="fr-FR"/>
        </w:rPr>
        <w:t xml:space="preserve"> </w:t>
      </w:r>
      <w:r w:rsidRPr="00F544E6">
        <w:rPr>
          <w:rFonts w:ascii="Candara" w:hAnsi="Candara" w:cs="Arial"/>
          <w:sz w:val="22"/>
          <w:szCs w:val="22"/>
          <w:lang w:val="fr-FR"/>
        </w:rPr>
        <w:t xml:space="preserve">ménages à </w:t>
      </w:r>
      <w:r w:rsidR="005D7990" w:rsidRPr="00F544E6">
        <w:rPr>
          <w:rFonts w:ascii="Candara" w:hAnsi="Candara" w:cs="Arial"/>
          <w:sz w:val="22"/>
          <w:szCs w:val="22"/>
          <w:lang w:val="fr-FR"/>
        </w:rPr>
        <w:t xml:space="preserve">N’Djamena </w:t>
      </w:r>
      <w:r w:rsidR="00054F81" w:rsidRPr="00F544E6">
        <w:rPr>
          <w:rFonts w:ascii="Candara" w:hAnsi="Candara" w:cs="Arial"/>
          <w:b/>
          <w:sz w:val="22"/>
          <w:szCs w:val="22"/>
          <w:lang w:val="fr-FR"/>
        </w:rPr>
        <w:t xml:space="preserve">et </w:t>
      </w:r>
      <w:r w:rsidR="006D2505" w:rsidRPr="006D2505">
        <w:rPr>
          <w:rFonts w:ascii="Candara" w:hAnsi="Candara" w:cs="Arial"/>
          <w:b/>
          <w:sz w:val="22"/>
          <w:szCs w:val="22"/>
          <w:lang w:val="fr-FR"/>
        </w:rPr>
        <w:t>2783</w:t>
      </w:r>
      <w:r w:rsidR="005D7990" w:rsidRPr="00F544E6">
        <w:rPr>
          <w:rFonts w:ascii="Candara" w:hAnsi="Candara" w:cs="Arial"/>
          <w:sz w:val="22"/>
          <w:szCs w:val="22"/>
          <w:lang w:val="fr-FR"/>
        </w:rPr>
        <w:t xml:space="preserve"> </w:t>
      </w:r>
      <w:r w:rsidRPr="00F544E6">
        <w:rPr>
          <w:rFonts w:ascii="Candara" w:hAnsi="Candara" w:cs="Arial"/>
          <w:sz w:val="22"/>
          <w:szCs w:val="22"/>
          <w:lang w:val="fr-FR"/>
        </w:rPr>
        <w:t>ménages en province). Le tableau suivant présente la répartition de l’échantillon par province :</w:t>
      </w:r>
    </w:p>
    <w:p w14:paraId="7ECBACAA" w14:textId="77777777" w:rsidR="00D83D48" w:rsidRDefault="00D83D48" w:rsidP="00D83D48">
      <w:pPr>
        <w:spacing w:after="120"/>
        <w:jc w:val="both"/>
        <w:rPr>
          <w:rFonts w:ascii="Candara" w:hAnsi="Candara" w:cs="Arial"/>
          <w:b/>
          <w:sz w:val="24"/>
          <w:szCs w:val="24"/>
          <w:lang w:val="fr-FR"/>
        </w:rPr>
      </w:pPr>
      <w:r w:rsidRPr="008D2328">
        <w:rPr>
          <w:rFonts w:ascii="Candara" w:hAnsi="Candara" w:cs="Arial"/>
          <w:b/>
          <w:sz w:val="24"/>
          <w:szCs w:val="24"/>
          <w:lang w:val="fr-FR"/>
        </w:rPr>
        <w:t>Tableau 1 : Echantillonnage de concessions/ménages</w:t>
      </w:r>
    </w:p>
    <w:tbl>
      <w:tblPr>
        <w:tblW w:w="10074" w:type="dxa"/>
        <w:tblLook w:val="04A0" w:firstRow="1" w:lastRow="0" w:firstColumn="1" w:lastColumn="0" w:noHBand="0" w:noVBand="1"/>
      </w:tblPr>
      <w:tblGrid>
        <w:gridCol w:w="1838"/>
        <w:gridCol w:w="1985"/>
        <w:gridCol w:w="1559"/>
        <w:gridCol w:w="2116"/>
        <w:gridCol w:w="1428"/>
        <w:gridCol w:w="1148"/>
      </w:tblGrid>
      <w:tr w:rsidR="006D2505" w:rsidRPr="006D2505" w14:paraId="05F9683B" w14:textId="77777777" w:rsidTr="005030A1">
        <w:trPr>
          <w:trHeight w:val="792"/>
        </w:trPr>
        <w:tc>
          <w:tcPr>
            <w:tcW w:w="1838"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B38426A" w14:textId="77777777" w:rsidR="006D2505" w:rsidRPr="006D2505" w:rsidRDefault="006D2505" w:rsidP="006D2505">
            <w:pPr>
              <w:widowControl/>
              <w:jc w:val="center"/>
              <w:rPr>
                <w:rFonts w:ascii="Arial" w:hAnsi="Arial" w:cs="Arial"/>
                <w:b/>
                <w:bCs/>
                <w:lang w:val="en-GB" w:eastAsia="en-GB"/>
              </w:rPr>
            </w:pPr>
            <w:proofErr w:type="spellStart"/>
            <w:r w:rsidRPr="006D2505">
              <w:rPr>
                <w:rFonts w:ascii="Arial" w:hAnsi="Arial" w:cs="Arial"/>
                <w:b/>
                <w:bCs/>
                <w:lang w:val="en-GB" w:eastAsia="en-GB"/>
              </w:rPr>
              <w:t>Délégation</w:t>
            </w:r>
            <w:proofErr w:type="spellEnd"/>
            <w:r w:rsidRPr="006D2505">
              <w:rPr>
                <w:rFonts w:ascii="Arial" w:hAnsi="Arial" w:cs="Arial"/>
                <w:b/>
                <w:bCs/>
                <w:lang w:val="en-GB" w:eastAsia="en-GB"/>
              </w:rPr>
              <w:t xml:space="preserve"> Sanitaire </w:t>
            </w:r>
            <w:proofErr w:type="spellStart"/>
            <w:r w:rsidRPr="006D2505">
              <w:rPr>
                <w:rFonts w:ascii="Arial" w:hAnsi="Arial" w:cs="Arial"/>
                <w:b/>
                <w:bCs/>
                <w:lang w:val="en-GB" w:eastAsia="en-GB"/>
              </w:rPr>
              <w:t>Provinciale</w:t>
            </w:r>
            <w:proofErr w:type="spellEnd"/>
          </w:p>
        </w:tc>
        <w:tc>
          <w:tcPr>
            <w:tcW w:w="1985" w:type="dxa"/>
            <w:tcBorders>
              <w:top w:val="single" w:sz="4" w:space="0" w:color="auto"/>
              <w:left w:val="nil"/>
              <w:bottom w:val="single" w:sz="4" w:space="0" w:color="auto"/>
              <w:right w:val="single" w:sz="4" w:space="0" w:color="auto"/>
            </w:tcBorders>
            <w:shd w:val="clear" w:color="000000" w:fill="FFE699"/>
            <w:vAlign w:val="center"/>
            <w:hideMark/>
          </w:tcPr>
          <w:p w14:paraId="085897EE" w14:textId="77777777" w:rsidR="006D2505" w:rsidRPr="006D2505" w:rsidRDefault="006D2505" w:rsidP="006D2505">
            <w:pPr>
              <w:widowControl/>
              <w:jc w:val="center"/>
              <w:rPr>
                <w:rFonts w:ascii="Arial" w:hAnsi="Arial" w:cs="Arial"/>
                <w:b/>
                <w:bCs/>
                <w:lang w:val="en-GB" w:eastAsia="en-GB"/>
              </w:rPr>
            </w:pPr>
            <w:r w:rsidRPr="006D2505">
              <w:rPr>
                <w:rFonts w:ascii="Arial" w:hAnsi="Arial" w:cs="Arial"/>
                <w:b/>
                <w:bCs/>
                <w:lang w:val="en-GB" w:eastAsia="en-GB"/>
              </w:rPr>
              <w:t>District de santé (ZI)</w:t>
            </w:r>
          </w:p>
        </w:tc>
        <w:tc>
          <w:tcPr>
            <w:tcW w:w="1559" w:type="dxa"/>
            <w:tcBorders>
              <w:top w:val="single" w:sz="4" w:space="0" w:color="auto"/>
              <w:left w:val="nil"/>
              <w:bottom w:val="single" w:sz="4" w:space="0" w:color="auto"/>
              <w:right w:val="single" w:sz="4" w:space="0" w:color="auto"/>
            </w:tcBorders>
            <w:shd w:val="clear" w:color="000000" w:fill="FFE699"/>
            <w:vAlign w:val="center"/>
            <w:hideMark/>
          </w:tcPr>
          <w:p w14:paraId="49C93A83" w14:textId="77777777" w:rsidR="006D2505" w:rsidRPr="006D2505" w:rsidRDefault="006D2505" w:rsidP="006D2505">
            <w:pPr>
              <w:widowControl/>
              <w:jc w:val="center"/>
              <w:rPr>
                <w:rFonts w:ascii="Arial" w:hAnsi="Arial" w:cs="Arial"/>
                <w:b/>
                <w:bCs/>
                <w:lang w:val="fr-FR" w:eastAsia="en-GB"/>
              </w:rPr>
            </w:pPr>
            <w:r w:rsidRPr="006D2505">
              <w:rPr>
                <w:rFonts w:ascii="Arial" w:hAnsi="Arial" w:cs="Arial"/>
                <w:b/>
                <w:bCs/>
                <w:lang w:val="fr-FR" w:eastAsia="en-GB"/>
              </w:rPr>
              <w:t>Nombre de centres de santé</w:t>
            </w:r>
          </w:p>
        </w:tc>
        <w:tc>
          <w:tcPr>
            <w:tcW w:w="2116" w:type="dxa"/>
            <w:tcBorders>
              <w:top w:val="single" w:sz="4" w:space="0" w:color="auto"/>
              <w:left w:val="nil"/>
              <w:bottom w:val="single" w:sz="4" w:space="0" w:color="auto"/>
              <w:right w:val="single" w:sz="4" w:space="0" w:color="auto"/>
            </w:tcBorders>
            <w:shd w:val="clear" w:color="000000" w:fill="FFE699"/>
            <w:vAlign w:val="center"/>
            <w:hideMark/>
          </w:tcPr>
          <w:p w14:paraId="47D67E25" w14:textId="77777777" w:rsidR="006D2505" w:rsidRPr="006D2505" w:rsidRDefault="006D2505" w:rsidP="006D2505">
            <w:pPr>
              <w:widowControl/>
              <w:jc w:val="center"/>
              <w:rPr>
                <w:rFonts w:ascii="Arial" w:hAnsi="Arial" w:cs="Arial"/>
                <w:b/>
                <w:bCs/>
                <w:lang w:val="fr-FR" w:eastAsia="en-GB"/>
              </w:rPr>
            </w:pPr>
            <w:r w:rsidRPr="006D2505">
              <w:rPr>
                <w:rFonts w:ascii="Arial" w:hAnsi="Arial" w:cs="Arial"/>
                <w:b/>
                <w:bCs/>
                <w:lang w:val="fr-FR" w:eastAsia="en-GB"/>
              </w:rPr>
              <w:t>Fraction d'échantillonnage des ZS (1/3 des CS)</w:t>
            </w:r>
          </w:p>
        </w:tc>
        <w:tc>
          <w:tcPr>
            <w:tcW w:w="1428" w:type="dxa"/>
            <w:tcBorders>
              <w:top w:val="single" w:sz="4" w:space="0" w:color="auto"/>
              <w:left w:val="nil"/>
              <w:bottom w:val="single" w:sz="4" w:space="0" w:color="auto"/>
              <w:right w:val="single" w:sz="4" w:space="0" w:color="auto"/>
            </w:tcBorders>
            <w:shd w:val="clear" w:color="000000" w:fill="FFE699"/>
            <w:vAlign w:val="center"/>
            <w:hideMark/>
          </w:tcPr>
          <w:p w14:paraId="6EA96C8B" w14:textId="77777777" w:rsidR="006D2505" w:rsidRPr="006D2505" w:rsidRDefault="006D2505" w:rsidP="006D2505">
            <w:pPr>
              <w:widowControl/>
              <w:jc w:val="center"/>
              <w:rPr>
                <w:rFonts w:ascii="Arial" w:hAnsi="Arial" w:cs="Arial"/>
                <w:b/>
                <w:bCs/>
                <w:lang w:val="en-GB" w:eastAsia="en-GB"/>
              </w:rPr>
            </w:pPr>
            <w:proofErr w:type="spellStart"/>
            <w:r w:rsidRPr="006D2505">
              <w:rPr>
                <w:rFonts w:ascii="Arial" w:hAnsi="Arial" w:cs="Arial"/>
                <w:b/>
                <w:bCs/>
                <w:lang w:val="en-GB" w:eastAsia="en-GB"/>
              </w:rPr>
              <w:t>Echantillon</w:t>
            </w:r>
            <w:proofErr w:type="spellEnd"/>
            <w:r w:rsidRPr="006D2505">
              <w:rPr>
                <w:rFonts w:ascii="Arial" w:hAnsi="Arial" w:cs="Arial"/>
                <w:b/>
                <w:bCs/>
                <w:lang w:val="en-GB" w:eastAsia="en-GB"/>
              </w:rPr>
              <w:t xml:space="preserve"> concessions</w:t>
            </w:r>
          </w:p>
        </w:tc>
        <w:tc>
          <w:tcPr>
            <w:tcW w:w="1148" w:type="dxa"/>
            <w:tcBorders>
              <w:top w:val="single" w:sz="4" w:space="0" w:color="auto"/>
              <w:left w:val="nil"/>
              <w:bottom w:val="single" w:sz="4" w:space="0" w:color="auto"/>
              <w:right w:val="single" w:sz="4" w:space="0" w:color="auto"/>
            </w:tcBorders>
            <w:shd w:val="clear" w:color="000000" w:fill="FFE699"/>
            <w:vAlign w:val="center"/>
            <w:hideMark/>
          </w:tcPr>
          <w:p w14:paraId="74B60562" w14:textId="77777777" w:rsidR="006D2505" w:rsidRPr="006D2505" w:rsidRDefault="006D2505" w:rsidP="006D2505">
            <w:pPr>
              <w:widowControl/>
              <w:jc w:val="center"/>
              <w:rPr>
                <w:rFonts w:ascii="Arial" w:hAnsi="Arial" w:cs="Arial"/>
                <w:b/>
                <w:bCs/>
                <w:lang w:val="en-GB" w:eastAsia="en-GB"/>
              </w:rPr>
            </w:pPr>
            <w:proofErr w:type="spellStart"/>
            <w:r w:rsidRPr="006D2505">
              <w:rPr>
                <w:rFonts w:ascii="Arial" w:hAnsi="Arial" w:cs="Arial"/>
                <w:b/>
                <w:bCs/>
                <w:lang w:val="en-GB" w:eastAsia="en-GB"/>
              </w:rPr>
              <w:t>Nbre</w:t>
            </w:r>
            <w:proofErr w:type="spellEnd"/>
            <w:r w:rsidRPr="006D2505">
              <w:rPr>
                <w:rFonts w:ascii="Arial" w:hAnsi="Arial" w:cs="Arial"/>
                <w:b/>
                <w:bCs/>
                <w:lang w:val="en-GB" w:eastAsia="en-GB"/>
              </w:rPr>
              <w:t xml:space="preserve"> de village</w:t>
            </w:r>
          </w:p>
        </w:tc>
      </w:tr>
      <w:tr w:rsidR="006D2505" w:rsidRPr="006D2505" w14:paraId="0249D538" w14:textId="77777777" w:rsidTr="005030A1">
        <w:trPr>
          <w:trHeight w:val="35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C205B00"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 xml:space="preserve">Chari </w:t>
            </w:r>
            <w:proofErr w:type="spellStart"/>
            <w:r w:rsidRPr="006D2505">
              <w:rPr>
                <w:rFonts w:ascii="Calibri" w:hAnsi="Calibri" w:cs="Calibri"/>
                <w:color w:val="000000"/>
                <w:sz w:val="22"/>
                <w:szCs w:val="22"/>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104FF85A"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Ba-</w:t>
            </w:r>
            <w:proofErr w:type="spellStart"/>
            <w:r w:rsidRPr="006D2505">
              <w:rPr>
                <w:rFonts w:ascii="Calibri" w:hAnsi="Calibri" w:cs="Calibri"/>
                <w:color w:val="000000"/>
                <w:sz w:val="22"/>
                <w:szCs w:val="22"/>
                <w:lang w:val="en-GB" w:eastAsia="en-GB"/>
              </w:rPr>
              <w:t>Illi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6F75701" w14:textId="77777777" w:rsidR="006D2505" w:rsidRPr="006D2505" w:rsidRDefault="006D2505" w:rsidP="006D2505">
            <w:pPr>
              <w:widowControl/>
              <w:jc w:val="center"/>
              <w:rPr>
                <w:rFonts w:ascii="Calibri" w:hAnsi="Calibri" w:cs="Calibri"/>
                <w:color w:val="0070C0"/>
                <w:sz w:val="22"/>
                <w:szCs w:val="22"/>
                <w:lang w:val="en-GB" w:eastAsia="en-GB"/>
              </w:rPr>
            </w:pPr>
            <w:r w:rsidRPr="006D2505">
              <w:rPr>
                <w:rFonts w:ascii="Calibri" w:hAnsi="Calibri" w:cs="Calibri"/>
                <w:color w:val="0070C0"/>
                <w:sz w:val="22"/>
                <w:szCs w:val="22"/>
                <w:lang w:val="en-GB" w:eastAsia="en-GB"/>
              </w:rPr>
              <w:t>11</w:t>
            </w:r>
          </w:p>
        </w:tc>
        <w:tc>
          <w:tcPr>
            <w:tcW w:w="2116" w:type="dxa"/>
            <w:tcBorders>
              <w:top w:val="nil"/>
              <w:left w:val="nil"/>
              <w:bottom w:val="single" w:sz="4" w:space="0" w:color="auto"/>
              <w:right w:val="single" w:sz="4" w:space="0" w:color="auto"/>
            </w:tcBorders>
            <w:shd w:val="clear" w:color="auto" w:fill="auto"/>
            <w:noWrap/>
            <w:vAlign w:val="center"/>
            <w:hideMark/>
          </w:tcPr>
          <w:p w14:paraId="39D1B80D"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22AE0C9C"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92</w:t>
            </w:r>
          </w:p>
        </w:tc>
        <w:tc>
          <w:tcPr>
            <w:tcW w:w="1148" w:type="dxa"/>
            <w:tcBorders>
              <w:top w:val="nil"/>
              <w:left w:val="nil"/>
              <w:bottom w:val="single" w:sz="4" w:space="0" w:color="auto"/>
              <w:right w:val="single" w:sz="4" w:space="0" w:color="auto"/>
            </w:tcBorders>
            <w:shd w:val="clear" w:color="auto" w:fill="auto"/>
            <w:noWrap/>
            <w:vAlign w:val="center"/>
            <w:hideMark/>
          </w:tcPr>
          <w:p w14:paraId="0A2681AF"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37</w:t>
            </w:r>
          </w:p>
        </w:tc>
      </w:tr>
      <w:tr w:rsidR="006D2505" w:rsidRPr="006D2505" w14:paraId="7326CAC0" w14:textId="77777777" w:rsidTr="005030A1">
        <w:trPr>
          <w:trHeight w:val="40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585731F"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 xml:space="preserve">Chari </w:t>
            </w:r>
            <w:proofErr w:type="spellStart"/>
            <w:r w:rsidRPr="006D2505">
              <w:rPr>
                <w:rFonts w:ascii="Calibri" w:hAnsi="Calibri" w:cs="Calibri"/>
                <w:color w:val="000000"/>
                <w:sz w:val="22"/>
                <w:szCs w:val="22"/>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B9E6BCB"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Bousso</w:t>
            </w:r>
          </w:p>
        </w:tc>
        <w:tc>
          <w:tcPr>
            <w:tcW w:w="1559" w:type="dxa"/>
            <w:tcBorders>
              <w:top w:val="nil"/>
              <w:left w:val="nil"/>
              <w:bottom w:val="single" w:sz="4" w:space="0" w:color="auto"/>
              <w:right w:val="single" w:sz="4" w:space="0" w:color="auto"/>
            </w:tcBorders>
            <w:shd w:val="clear" w:color="auto" w:fill="auto"/>
            <w:noWrap/>
            <w:vAlign w:val="center"/>
            <w:hideMark/>
          </w:tcPr>
          <w:p w14:paraId="179A1B12"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11</w:t>
            </w:r>
          </w:p>
        </w:tc>
        <w:tc>
          <w:tcPr>
            <w:tcW w:w="2116" w:type="dxa"/>
            <w:tcBorders>
              <w:top w:val="nil"/>
              <w:left w:val="nil"/>
              <w:bottom w:val="single" w:sz="4" w:space="0" w:color="auto"/>
              <w:right w:val="single" w:sz="4" w:space="0" w:color="auto"/>
            </w:tcBorders>
            <w:shd w:val="clear" w:color="auto" w:fill="auto"/>
            <w:noWrap/>
            <w:vAlign w:val="center"/>
            <w:hideMark/>
          </w:tcPr>
          <w:p w14:paraId="0E0D509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458B58C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92</w:t>
            </w:r>
          </w:p>
        </w:tc>
        <w:tc>
          <w:tcPr>
            <w:tcW w:w="1148" w:type="dxa"/>
            <w:tcBorders>
              <w:top w:val="nil"/>
              <w:left w:val="nil"/>
              <w:bottom w:val="single" w:sz="4" w:space="0" w:color="auto"/>
              <w:right w:val="single" w:sz="4" w:space="0" w:color="auto"/>
            </w:tcBorders>
            <w:shd w:val="clear" w:color="auto" w:fill="auto"/>
            <w:noWrap/>
            <w:vAlign w:val="center"/>
            <w:hideMark/>
          </w:tcPr>
          <w:p w14:paraId="0DD9AF4D"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37</w:t>
            </w:r>
          </w:p>
        </w:tc>
      </w:tr>
      <w:tr w:rsidR="006D2505" w:rsidRPr="006D2505" w14:paraId="4626DB29" w14:textId="77777777" w:rsidTr="005030A1">
        <w:trPr>
          <w:trHeight w:val="46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23D2747"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 xml:space="preserve">Chari </w:t>
            </w:r>
            <w:proofErr w:type="spellStart"/>
            <w:r w:rsidRPr="006D2505">
              <w:rPr>
                <w:rFonts w:ascii="Calibri" w:hAnsi="Calibri" w:cs="Calibri"/>
                <w:color w:val="000000"/>
                <w:sz w:val="22"/>
                <w:szCs w:val="22"/>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F18AEA0"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Dourbali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0F0162E" w14:textId="77777777" w:rsidR="006D2505" w:rsidRPr="006D2505" w:rsidRDefault="006D2505" w:rsidP="006D2505">
            <w:pPr>
              <w:widowControl/>
              <w:jc w:val="center"/>
              <w:rPr>
                <w:rFonts w:ascii="Calibri" w:hAnsi="Calibri" w:cs="Calibri"/>
                <w:sz w:val="22"/>
                <w:szCs w:val="22"/>
                <w:lang w:val="en-GB" w:eastAsia="en-GB"/>
              </w:rPr>
            </w:pPr>
            <w:r w:rsidRPr="006D2505">
              <w:rPr>
                <w:rFonts w:ascii="Calibri" w:hAnsi="Calibri" w:cs="Calibri"/>
                <w:sz w:val="22"/>
                <w:szCs w:val="22"/>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358FA57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435F4A42"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39B093E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57</w:t>
            </w:r>
          </w:p>
        </w:tc>
      </w:tr>
      <w:tr w:rsidR="006D2505" w:rsidRPr="006D2505" w14:paraId="367A5602" w14:textId="77777777" w:rsidTr="005030A1">
        <w:trPr>
          <w:trHeight w:val="418"/>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BB2905B"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 xml:space="preserve">Chari </w:t>
            </w:r>
            <w:proofErr w:type="spellStart"/>
            <w:r w:rsidRPr="006D2505">
              <w:rPr>
                <w:rFonts w:ascii="Calibri" w:hAnsi="Calibri" w:cs="Calibri"/>
                <w:color w:val="000000"/>
                <w:sz w:val="22"/>
                <w:szCs w:val="22"/>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C58D271"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Mandelia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68E1BA9" w14:textId="77777777" w:rsidR="006D2505" w:rsidRPr="006D2505" w:rsidRDefault="006D2505" w:rsidP="006D2505">
            <w:pPr>
              <w:widowControl/>
              <w:jc w:val="center"/>
              <w:rPr>
                <w:rFonts w:ascii="Calibri" w:hAnsi="Calibri" w:cs="Calibri"/>
                <w:sz w:val="22"/>
                <w:szCs w:val="22"/>
                <w:lang w:val="en-GB" w:eastAsia="en-GB"/>
              </w:rPr>
            </w:pPr>
            <w:r w:rsidRPr="006D2505">
              <w:rPr>
                <w:rFonts w:ascii="Calibri" w:hAnsi="Calibri" w:cs="Calibri"/>
                <w:sz w:val="22"/>
                <w:szCs w:val="22"/>
                <w:lang w:val="en-GB" w:eastAsia="en-GB"/>
              </w:rPr>
              <w:t>21</w:t>
            </w:r>
          </w:p>
        </w:tc>
        <w:tc>
          <w:tcPr>
            <w:tcW w:w="2116" w:type="dxa"/>
            <w:tcBorders>
              <w:top w:val="nil"/>
              <w:left w:val="nil"/>
              <w:bottom w:val="single" w:sz="4" w:space="0" w:color="auto"/>
              <w:right w:val="single" w:sz="4" w:space="0" w:color="auto"/>
            </w:tcBorders>
            <w:shd w:val="clear" w:color="auto" w:fill="auto"/>
            <w:noWrap/>
            <w:vAlign w:val="center"/>
            <w:hideMark/>
          </w:tcPr>
          <w:p w14:paraId="34C7D75F"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7</w:t>
            </w:r>
          </w:p>
        </w:tc>
        <w:tc>
          <w:tcPr>
            <w:tcW w:w="1428" w:type="dxa"/>
            <w:tcBorders>
              <w:top w:val="nil"/>
              <w:left w:val="nil"/>
              <w:bottom w:val="single" w:sz="4" w:space="0" w:color="auto"/>
              <w:right w:val="single" w:sz="4" w:space="0" w:color="auto"/>
            </w:tcBorders>
            <w:shd w:val="clear" w:color="auto" w:fill="auto"/>
            <w:noWrap/>
            <w:vAlign w:val="center"/>
            <w:hideMark/>
          </w:tcPr>
          <w:p w14:paraId="598261C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175</w:t>
            </w:r>
          </w:p>
        </w:tc>
        <w:tc>
          <w:tcPr>
            <w:tcW w:w="1148" w:type="dxa"/>
            <w:tcBorders>
              <w:top w:val="nil"/>
              <w:left w:val="nil"/>
              <w:bottom w:val="single" w:sz="4" w:space="0" w:color="auto"/>
              <w:right w:val="single" w:sz="4" w:space="0" w:color="auto"/>
            </w:tcBorders>
            <w:shd w:val="clear" w:color="auto" w:fill="auto"/>
            <w:noWrap/>
            <w:vAlign w:val="center"/>
            <w:hideMark/>
          </w:tcPr>
          <w:p w14:paraId="79EDE515"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70</w:t>
            </w:r>
          </w:p>
        </w:tc>
      </w:tr>
      <w:tr w:rsidR="006D2505" w:rsidRPr="006D2505" w14:paraId="594E38AE" w14:textId="77777777" w:rsidTr="005030A1">
        <w:trPr>
          <w:trHeight w:val="38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E425C7A"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 xml:space="preserve">Chari </w:t>
            </w:r>
            <w:proofErr w:type="spellStart"/>
            <w:r w:rsidRPr="006D2505">
              <w:rPr>
                <w:rFonts w:ascii="Calibri" w:hAnsi="Calibri" w:cs="Calibri"/>
                <w:color w:val="000000"/>
                <w:sz w:val="22"/>
                <w:szCs w:val="22"/>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22E26E51"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Massenya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3AEE387" w14:textId="77777777" w:rsidR="006D2505" w:rsidRPr="006D2505" w:rsidRDefault="006D2505" w:rsidP="006D2505">
            <w:pPr>
              <w:widowControl/>
              <w:jc w:val="center"/>
              <w:rPr>
                <w:rFonts w:ascii="Calibri" w:hAnsi="Calibri" w:cs="Calibri"/>
                <w:sz w:val="22"/>
                <w:szCs w:val="22"/>
                <w:lang w:val="en-GB" w:eastAsia="en-GB"/>
              </w:rPr>
            </w:pPr>
            <w:r w:rsidRPr="006D2505">
              <w:rPr>
                <w:rFonts w:ascii="Calibri" w:hAnsi="Calibri" w:cs="Calibri"/>
                <w:sz w:val="22"/>
                <w:szCs w:val="22"/>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475BA48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73175158"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609899B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57</w:t>
            </w:r>
          </w:p>
        </w:tc>
      </w:tr>
      <w:tr w:rsidR="006D2505" w:rsidRPr="006D2505" w14:paraId="0ABA3B0A" w14:textId="77777777" w:rsidTr="005030A1">
        <w:trPr>
          <w:trHeight w:val="3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8E14953"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 xml:space="preserve">Chari </w:t>
            </w:r>
            <w:proofErr w:type="spellStart"/>
            <w:r w:rsidRPr="006D2505">
              <w:rPr>
                <w:rFonts w:ascii="Calibri" w:hAnsi="Calibri" w:cs="Calibri"/>
                <w:color w:val="000000"/>
                <w:sz w:val="22"/>
                <w:szCs w:val="22"/>
                <w:lang w:val="en-GB" w:eastAsia="en-GB"/>
              </w:rPr>
              <w:t>Baguirmi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5C6AE05"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Kouno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20EF0DA"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w:t>
            </w:r>
          </w:p>
        </w:tc>
        <w:tc>
          <w:tcPr>
            <w:tcW w:w="2116" w:type="dxa"/>
            <w:tcBorders>
              <w:top w:val="nil"/>
              <w:left w:val="nil"/>
              <w:bottom w:val="single" w:sz="4" w:space="0" w:color="auto"/>
              <w:right w:val="single" w:sz="4" w:space="0" w:color="auto"/>
            </w:tcBorders>
            <w:shd w:val="clear" w:color="auto" w:fill="auto"/>
            <w:noWrap/>
            <w:vAlign w:val="center"/>
            <w:hideMark/>
          </w:tcPr>
          <w:p w14:paraId="623A986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w:t>
            </w:r>
          </w:p>
        </w:tc>
        <w:tc>
          <w:tcPr>
            <w:tcW w:w="1428" w:type="dxa"/>
            <w:tcBorders>
              <w:top w:val="nil"/>
              <w:left w:val="nil"/>
              <w:bottom w:val="single" w:sz="4" w:space="0" w:color="auto"/>
              <w:right w:val="single" w:sz="4" w:space="0" w:color="auto"/>
            </w:tcBorders>
            <w:shd w:val="clear" w:color="auto" w:fill="auto"/>
            <w:noWrap/>
            <w:vAlign w:val="center"/>
            <w:hideMark/>
          </w:tcPr>
          <w:p w14:paraId="7F3953B4"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33</w:t>
            </w:r>
          </w:p>
        </w:tc>
        <w:tc>
          <w:tcPr>
            <w:tcW w:w="1148" w:type="dxa"/>
            <w:tcBorders>
              <w:top w:val="nil"/>
              <w:left w:val="nil"/>
              <w:bottom w:val="single" w:sz="4" w:space="0" w:color="auto"/>
              <w:right w:val="single" w:sz="4" w:space="0" w:color="auto"/>
            </w:tcBorders>
            <w:shd w:val="clear" w:color="auto" w:fill="auto"/>
            <w:noWrap/>
            <w:vAlign w:val="center"/>
            <w:hideMark/>
          </w:tcPr>
          <w:p w14:paraId="554D1F65"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13</w:t>
            </w:r>
          </w:p>
        </w:tc>
      </w:tr>
      <w:tr w:rsidR="006D2505" w:rsidRPr="006D2505" w14:paraId="2B499D16" w14:textId="77777777" w:rsidTr="005030A1">
        <w:trPr>
          <w:trHeight w:val="40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5779DD7"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Hadjer</w:t>
            </w:r>
            <w:proofErr w:type="spellEnd"/>
            <w:r w:rsidRPr="006D2505">
              <w:rPr>
                <w:rFonts w:ascii="Calibri" w:hAnsi="Calibri" w:cs="Calibri"/>
                <w:color w:val="000000"/>
                <w:sz w:val="22"/>
                <w:szCs w:val="22"/>
                <w:lang w:val="en-GB" w:eastAsia="en-GB"/>
              </w:rPr>
              <w:t xml:space="preserve"> </w:t>
            </w:r>
            <w:proofErr w:type="spellStart"/>
            <w:r w:rsidRPr="006D2505">
              <w:rPr>
                <w:rFonts w:ascii="Calibri" w:hAnsi="Calibri" w:cs="Calibri"/>
                <w:color w:val="000000"/>
                <w:sz w:val="22"/>
                <w:szCs w:val="22"/>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8EF0536"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Bokoro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4A7ED18" w14:textId="77777777" w:rsidR="006D2505" w:rsidRPr="006D2505" w:rsidRDefault="006D2505" w:rsidP="006D2505">
            <w:pPr>
              <w:widowControl/>
              <w:jc w:val="center"/>
              <w:rPr>
                <w:rFonts w:ascii="Calibri" w:hAnsi="Calibri" w:cs="Calibri"/>
                <w:color w:val="0070C0"/>
                <w:sz w:val="22"/>
                <w:szCs w:val="22"/>
                <w:lang w:val="en-GB" w:eastAsia="en-GB"/>
              </w:rPr>
            </w:pPr>
            <w:r w:rsidRPr="006D2505">
              <w:rPr>
                <w:rFonts w:ascii="Calibri" w:hAnsi="Calibri" w:cs="Calibri"/>
                <w:color w:val="0070C0"/>
                <w:sz w:val="22"/>
                <w:szCs w:val="22"/>
                <w:lang w:val="en-GB" w:eastAsia="en-GB"/>
              </w:rPr>
              <w:t>26</w:t>
            </w:r>
          </w:p>
        </w:tc>
        <w:tc>
          <w:tcPr>
            <w:tcW w:w="2116" w:type="dxa"/>
            <w:tcBorders>
              <w:top w:val="nil"/>
              <w:left w:val="nil"/>
              <w:bottom w:val="single" w:sz="4" w:space="0" w:color="auto"/>
              <w:right w:val="single" w:sz="4" w:space="0" w:color="auto"/>
            </w:tcBorders>
            <w:shd w:val="clear" w:color="auto" w:fill="auto"/>
            <w:noWrap/>
            <w:vAlign w:val="center"/>
            <w:hideMark/>
          </w:tcPr>
          <w:p w14:paraId="393F6A9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9</w:t>
            </w:r>
          </w:p>
        </w:tc>
        <w:tc>
          <w:tcPr>
            <w:tcW w:w="1428" w:type="dxa"/>
            <w:tcBorders>
              <w:top w:val="nil"/>
              <w:left w:val="nil"/>
              <w:bottom w:val="single" w:sz="4" w:space="0" w:color="auto"/>
              <w:right w:val="single" w:sz="4" w:space="0" w:color="auto"/>
            </w:tcBorders>
            <w:shd w:val="clear" w:color="auto" w:fill="auto"/>
            <w:noWrap/>
            <w:vAlign w:val="center"/>
            <w:hideMark/>
          </w:tcPr>
          <w:p w14:paraId="146CB343"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217</w:t>
            </w:r>
          </w:p>
        </w:tc>
        <w:tc>
          <w:tcPr>
            <w:tcW w:w="1148" w:type="dxa"/>
            <w:tcBorders>
              <w:top w:val="nil"/>
              <w:left w:val="nil"/>
              <w:bottom w:val="single" w:sz="4" w:space="0" w:color="auto"/>
              <w:right w:val="single" w:sz="4" w:space="0" w:color="auto"/>
            </w:tcBorders>
            <w:shd w:val="clear" w:color="auto" w:fill="auto"/>
            <w:noWrap/>
            <w:vAlign w:val="center"/>
            <w:hideMark/>
          </w:tcPr>
          <w:p w14:paraId="2925D42D"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87</w:t>
            </w:r>
          </w:p>
        </w:tc>
      </w:tr>
      <w:tr w:rsidR="006D2505" w:rsidRPr="006D2505" w14:paraId="079BBC7D" w14:textId="77777777" w:rsidTr="005030A1">
        <w:trPr>
          <w:trHeight w:val="41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21C2D8F"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Hadjer</w:t>
            </w:r>
            <w:proofErr w:type="spellEnd"/>
            <w:r w:rsidRPr="006D2505">
              <w:rPr>
                <w:rFonts w:ascii="Calibri" w:hAnsi="Calibri" w:cs="Calibri"/>
                <w:color w:val="000000"/>
                <w:sz w:val="22"/>
                <w:szCs w:val="22"/>
                <w:lang w:val="en-GB" w:eastAsia="en-GB"/>
              </w:rPr>
              <w:t xml:space="preserve"> </w:t>
            </w:r>
            <w:proofErr w:type="spellStart"/>
            <w:r w:rsidRPr="006D2505">
              <w:rPr>
                <w:rFonts w:ascii="Calibri" w:hAnsi="Calibri" w:cs="Calibri"/>
                <w:color w:val="000000"/>
                <w:sz w:val="22"/>
                <w:szCs w:val="22"/>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E0C9540"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Gama</w:t>
            </w:r>
          </w:p>
        </w:tc>
        <w:tc>
          <w:tcPr>
            <w:tcW w:w="1559" w:type="dxa"/>
            <w:tcBorders>
              <w:top w:val="nil"/>
              <w:left w:val="nil"/>
              <w:bottom w:val="single" w:sz="4" w:space="0" w:color="auto"/>
              <w:right w:val="single" w:sz="4" w:space="0" w:color="auto"/>
            </w:tcBorders>
            <w:shd w:val="clear" w:color="auto" w:fill="auto"/>
            <w:noWrap/>
            <w:vAlign w:val="center"/>
            <w:hideMark/>
          </w:tcPr>
          <w:p w14:paraId="53C68AF8"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9</w:t>
            </w:r>
          </w:p>
        </w:tc>
        <w:tc>
          <w:tcPr>
            <w:tcW w:w="2116" w:type="dxa"/>
            <w:tcBorders>
              <w:top w:val="nil"/>
              <w:left w:val="nil"/>
              <w:bottom w:val="single" w:sz="4" w:space="0" w:color="auto"/>
              <w:right w:val="single" w:sz="4" w:space="0" w:color="auto"/>
            </w:tcBorders>
            <w:shd w:val="clear" w:color="auto" w:fill="auto"/>
            <w:noWrap/>
            <w:vAlign w:val="center"/>
            <w:hideMark/>
          </w:tcPr>
          <w:p w14:paraId="02CE3A51"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w:t>
            </w:r>
          </w:p>
        </w:tc>
        <w:tc>
          <w:tcPr>
            <w:tcW w:w="1428" w:type="dxa"/>
            <w:tcBorders>
              <w:top w:val="nil"/>
              <w:left w:val="nil"/>
              <w:bottom w:val="single" w:sz="4" w:space="0" w:color="auto"/>
              <w:right w:val="single" w:sz="4" w:space="0" w:color="auto"/>
            </w:tcBorders>
            <w:shd w:val="clear" w:color="auto" w:fill="auto"/>
            <w:noWrap/>
            <w:vAlign w:val="center"/>
            <w:hideMark/>
          </w:tcPr>
          <w:p w14:paraId="5ED34ACA"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75</w:t>
            </w:r>
          </w:p>
        </w:tc>
        <w:tc>
          <w:tcPr>
            <w:tcW w:w="1148" w:type="dxa"/>
            <w:tcBorders>
              <w:top w:val="nil"/>
              <w:left w:val="nil"/>
              <w:bottom w:val="single" w:sz="4" w:space="0" w:color="auto"/>
              <w:right w:val="single" w:sz="4" w:space="0" w:color="auto"/>
            </w:tcBorders>
            <w:shd w:val="clear" w:color="auto" w:fill="auto"/>
            <w:noWrap/>
            <w:vAlign w:val="center"/>
            <w:hideMark/>
          </w:tcPr>
          <w:p w14:paraId="6AE8FF6C"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30</w:t>
            </w:r>
          </w:p>
        </w:tc>
      </w:tr>
      <w:tr w:rsidR="006D2505" w:rsidRPr="006D2505" w14:paraId="72C396CF" w14:textId="77777777" w:rsidTr="005030A1">
        <w:trPr>
          <w:trHeight w:val="41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C9AAA66"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Hadjer</w:t>
            </w:r>
            <w:proofErr w:type="spellEnd"/>
            <w:r w:rsidRPr="006D2505">
              <w:rPr>
                <w:rFonts w:ascii="Calibri" w:hAnsi="Calibri" w:cs="Calibri"/>
                <w:color w:val="000000"/>
                <w:sz w:val="22"/>
                <w:szCs w:val="22"/>
                <w:lang w:val="en-GB" w:eastAsia="en-GB"/>
              </w:rPr>
              <w:t xml:space="preserve"> </w:t>
            </w:r>
            <w:proofErr w:type="spellStart"/>
            <w:r w:rsidRPr="006D2505">
              <w:rPr>
                <w:rFonts w:ascii="Calibri" w:hAnsi="Calibri" w:cs="Calibri"/>
                <w:color w:val="000000"/>
                <w:sz w:val="22"/>
                <w:szCs w:val="22"/>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54880496"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Karal</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124E050" w14:textId="77777777" w:rsidR="006D2505" w:rsidRPr="006D2505" w:rsidRDefault="006D2505" w:rsidP="006D2505">
            <w:pPr>
              <w:widowControl/>
              <w:jc w:val="center"/>
              <w:rPr>
                <w:rFonts w:ascii="Calibri" w:hAnsi="Calibri" w:cs="Calibri"/>
                <w:color w:val="0070C0"/>
                <w:sz w:val="22"/>
                <w:szCs w:val="22"/>
                <w:lang w:val="en-GB" w:eastAsia="en-GB"/>
              </w:rPr>
            </w:pPr>
            <w:r w:rsidRPr="006D2505">
              <w:rPr>
                <w:rFonts w:ascii="Calibri" w:hAnsi="Calibri" w:cs="Calibri"/>
                <w:color w:val="0070C0"/>
                <w:sz w:val="22"/>
                <w:szCs w:val="22"/>
                <w:lang w:val="en-GB" w:eastAsia="en-GB"/>
              </w:rPr>
              <w:t>13</w:t>
            </w:r>
          </w:p>
        </w:tc>
        <w:tc>
          <w:tcPr>
            <w:tcW w:w="2116" w:type="dxa"/>
            <w:tcBorders>
              <w:top w:val="nil"/>
              <w:left w:val="nil"/>
              <w:bottom w:val="single" w:sz="4" w:space="0" w:color="auto"/>
              <w:right w:val="single" w:sz="4" w:space="0" w:color="auto"/>
            </w:tcBorders>
            <w:shd w:val="clear" w:color="auto" w:fill="auto"/>
            <w:noWrap/>
            <w:vAlign w:val="center"/>
            <w:hideMark/>
          </w:tcPr>
          <w:p w14:paraId="7EBE0D2A"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51DAD9C2"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108</w:t>
            </w:r>
          </w:p>
        </w:tc>
        <w:tc>
          <w:tcPr>
            <w:tcW w:w="1148" w:type="dxa"/>
            <w:tcBorders>
              <w:top w:val="nil"/>
              <w:left w:val="nil"/>
              <w:bottom w:val="single" w:sz="4" w:space="0" w:color="auto"/>
              <w:right w:val="single" w:sz="4" w:space="0" w:color="auto"/>
            </w:tcBorders>
            <w:shd w:val="clear" w:color="auto" w:fill="auto"/>
            <w:noWrap/>
            <w:vAlign w:val="center"/>
            <w:hideMark/>
          </w:tcPr>
          <w:p w14:paraId="53E0D120"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43</w:t>
            </w:r>
          </w:p>
        </w:tc>
      </w:tr>
      <w:tr w:rsidR="006D2505" w:rsidRPr="006D2505" w14:paraId="78095989" w14:textId="77777777" w:rsidTr="005030A1">
        <w:trPr>
          <w:trHeight w:val="39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47D6967"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Hadjer</w:t>
            </w:r>
            <w:proofErr w:type="spellEnd"/>
            <w:r w:rsidRPr="006D2505">
              <w:rPr>
                <w:rFonts w:ascii="Calibri" w:hAnsi="Calibri" w:cs="Calibri"/>
                <w:color w:val="000000"/>
                <w:sz w:val="22"/>
                <w:szCs w:val="22"/>
                <w:lang w:val="en-GB" w:eastAsia="en-GB"/>
              </w:rPr>
              <w:t xml:space="preserve"> </w:t>
            </w:r>
            <w:proofErr w:type="spellStart"/>
            <w:r w:rsidRPr="006D2505">
              <w:rPr>
                <w:rFonts w:ascii="Calibri" w:hAnsi="Calibri" w:cs="Calibri"/>
                <w:color w:val="000000"/>
                <w:sz w:val="22"/>
                <w:szCs w:val="22"/>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A4164F7"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Mani</w:t>
            </w:r>
          </w:p>
        </w:tc>
        <w:tc>
          <w:tcPr>
            <w:tcW w:w="1559" w:type="dxa"/>
            <w:tcBorders>
              <w:top w:val="nil"/>
              <w:left w:val="nil"/>
              <w:bottom w:val="single" w:sz="4" w:space="0" w:color="auto"/>
              <w:right w:val="single" w:sz="4" w:space="0" w:color="auto"/>
            </w:tcBorders>
            <w:shd w:val="clear" w:color="auto" w:fill="auto"/>
            <w:noWrap/>
            <w:vAlign w:val="center"/>
            <w:hideMark/>
          </w:tcPr>
          <w:p w14:paraId="69CB3BAF" w14:textId="77777777" w:rsidR="006D2505" w:rsidRPr="006D2505" w:rsidRDefault="006D2505" w:rsidP="006D2505">
            <w:pPr>
              <w:widowControl/>
              <w:jc w:val="center"/>
              <w:rPr>
                <w:rFonts w:ascii="Calibri" w:hAnsi="Calibri" w:cs="Calibri"/>
                <w:sz w:val="22"/>
                <w:szCs w:val="22"/>
                <w:lang w:val="en-GB" w:eastAsia="en-GB"/>
              </w:rPr>
            </w:pPr>
            <w:r w:rsidRPr="006D2505">
              <w:rPr>
                <w:rFonts w:ascii="Calibri" w:hAnsi="Calibri" w:cs="Calibri"/>
                <w:sz w:val="22"/>
                <w:szCs w:val="22"/>
                <w:lang w:val="en-GB" w:eastAsia="en-GB"/>
              </w:rPr>
              <w:t>14</w:t>
            </w:r>
          </w:p>
        </w:tc>
        <w:tc>
          <w:tcPr>
            <w:tcW w:w="2116" w:type="dxa"/>
            <w:tcBorders>
              <w:top w:val="nil"/>
              <w:left w:val="nil"/>
              <w:bottom w:val="single" w:sz="4" w:space="0" w:color="auto"/>
              <w:right w:val="single" w:sz="4" w:space="0" w:color="auto"/>
            </w:tcBorders>
            <w:shd w:val="clear" w:color="auto" w:fill="auto"/>
            <w:noWrap/>
            <w:vAlign w:val="center"/>
            <w:hideMark/>
          </w:tcPr>
          <w:p w14:paraId="34BD8E41"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5</w:t>
            </w:r>
          </w:p>
        </w:tc>
        <w:tc>
          <w:tcPr>
            <w:tcW w:w="1428" w:type="dxa"/>
            <w:tcBorders>
              <w:top w:val="nil"/>
              <w:left w:val="nil"/>
              <w:bottom w:val="single" w:sz="4" w:space="0" w:color="auto"/>
              <w:right w:val="single" w:sz="4" w:space="0" w:color="auto"/>
            </w:tcBorders>
            <w:shd w:val="clear" w:color="auto" w:fill="auto"/>
            <w:noWrap/>
            <w:vAlign w:val="center"/>
            <w:hideMark/>
          </w:tcPr>
          <w:p w14:paraId="16738ED4"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117</w:t>
            </w:r>
          </w:p>
        </w:tc>
        <w:tc>
          <w:tcPr>
            <w:tcW w:w="1148" w:type="dxa"/>
            <w:tcBorders>
              <w:top w:val="nil"/>
              <w:left w:val="nil"/>
              <w:bottom w:val="single" w:sz="4" w:space="0" w:color="auto"/>
              <w:right w:val="single" w:sz="4" w:space="0" w:color="auto"/>
            </w:tcBorders>
            <w:shd w:val="clear" w:color="auto" w:fill="auto"/>
            <w:noWrap/>
            <w:vAlign w:val="center"/>
            <w:hideMark/>
          </w:tcPr>
          <w:p w14:paraId="6A3B17B5"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47</w:t>
            </w:r>
          </w:p>
        </w:tc>
      </w:tr>
      <w:tr w:rsidR="006D2505" w:rsidRPr="006D2505" w14:paraId="71562569" w14:textId="77777777" w:rsidTr="005030A1">
        <w:trPr>
          <w:trHeight w:val="41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9BCD45C"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Hadjer</w:t>
            </w:r>
            <w:proofErr w:type="spellEnd"/>
            <w:r w:rsidRPr="006D2505">
              <w:rPr>
                <w:rFonts w:ascii="Calibri" w:hAnsi="Calibri" w:cs="Calibri"/>
                <w:color w:val="000000"/>
                <w:sz w:val="22"/>
                <w:szCs w:val="22"/>
                <w:lang w:val="en-GB" w:eastAsia="en-GB"/>
              </w:rPr>
              <w:t xml:space="preserve"> </w:t>
            </w:r>
            <w:proofErr w:type="spellStart"/>
            <w:r w:rsidRPr="006D2505">
              <w:rPr>
                <w:rFonts w:ascii="Calibri" w:hAnsi="Calibri" w:cs="Calibri"/>
                <w:color w:val="000000"/>
                <w:sz w:val="22"/>
                <w:szCs w:val="22"/>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C2B7CFF"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Massaguet</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B674FF4"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21</w:t>
            </w:r>
          </w:p>
        </w:tc>
        <w:tc>
          <w:tcPr>
            <w:tcW w:w="2116" w:type="dxa"/>
            <w:tcBorders>
              <w:top w:val="nil"/>
              <w:left w:val="nil"/>
              <w:bottom w:val="single" w:sz="4" w:space="0" w:color="auto"/>
              <w:right w:val="single" w:sz="4" w:space="0" w:color="auto"/>
            </w:tcBorders>
            <w:shd w:val="clear" w:color="auto" w:fill="auto"/>
            <w:noWrap/>
            <w:vAlign w:val="center"/>
            <w:hideMark/>
          </w:tcPr>
          <w:p w14:paraId="35730D4C"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7</w:t>
            </w:r>
          </w:p>
        </w:tc>
        <w:tc>
          <w:tcPr>
            <w:tcW w:w="1428" w:type="dxa"/>
            <w:tcBorders>
              <w:top w:val="nil"/>
              <w:left w:val="nil"/>
              <w:bottom w:val="single" w:sz="4" w:space="0" w:color="auto"/>
              <w:right w:val="single" w:sz="4" w:space="0" w:color="auto"/>
            </w:tcBorders>
            <w:shd w:val="clear" w:color="auto" w:fill="auto"/>
            <w:noWrap/>
            <w:vAlign w:val="center"/>
            <w:hideMark/>
          </w:tcPr>
          <w:p w14:paraId="24562911"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175</w:t>
            </w:r>
          </w:p>
        </w:tc>
        <w:tc>
          <w:tcPr>
            <w:tcW w:w="1148" w:type="dxa"/>
            <w:tcBorders>
              <w:top w:val="nil"/>
              <w:left w:val="nil"/>
              <w:bottom w:val="single" w:sz="4" w:space="0" w:color="auto"/>
              <w:right w:val="single" w:sz="4" w:space="0" w:color="auto"/>
            </w:tcBorders>
            <w:shd w:val="clear" w:color="auto" w:fill="auto"/>
            <w:noWrap/>
            <w:vAlign w:val="center"/>
            <w:hideMark/>
          </w:tcPr>
          <w:p w14:paraId="18723B35"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70</w:t>
            </w:r>
          </w:p>
        </w:tc>
      </w:tr>
      <w:tr w:rsidR="006D2505" w:rsidRPr="006D2505" w14:paraId="42A34DC7" w14:textId="77777777" w:rsidTr="005030A1">
        <w:trPr>
          <w:trHeight w:val="417"/>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0E62016"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Hadjer</w:t>
            </w:r>
            <w:proofErr w:type="spellEnd"/>
            <w:r w:rsidRPr="006D2505">
              <w:rPr>
                <w:rFonts w:ascii="Calibri" w:hAnsi="Calibri" w:cs="Calibri"/>
                <w:color w:val="000000"/>
                <w:sz w:val="22"/>
                <w:szCs w:val="22"/>
                <w:lang w:val="en-GB" w:eastAsia="en-GB"/>
              </w:rPr>
              <w:t xml:space="preserve"> </w:t>
            </w:r>
            <w:proofErr w:type="spellStart"/>
            <w:r w:rsidRPr="006D2505">
              <w:rPr>
                <w:rFonts w:ascii="Calibri" w:hAnsi="Calibri" w:cs="Calibri"/>
                <w:color w:val="000000"/>
                <w:sz w:val="22"/>
                <w:szCs w:val="22"/>
                <w:lang w:val="en-GB" w:eastAsia="en-GB"/>
              </w:rPr>
              <w:t>Lamis</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769B80B"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Massakory</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DC665D8"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18</w:t>
            </w:r>
          </w:p>
        </w:tc>
        <w:tc>
          <w:tcPr>
            <w:tcW w:w="2116" w:type="dxa"/>
            <w:tcBorders>
              <w:top w:val="nil"/>
              <w:left w:val="nil"/>
              <w:bottom w:val="single" w:sz="4" w:space="0" w:color="auto"/>
              <w:right w:val="single" w:sz="4" w:space="0" w:color="auto"/>
            </w:tcBorders>
            <w:shd w:val="clear" w:color="auto" w:fill="auto"/>
            <w:noWrap/>
            <w:vAlign w:val="center"/>
            <w:hideMark/>
          </w:tcPr>
          <w:p w14:paraId="1F3E063B"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75CCB8B2"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150</w:t>
            </w:r>
          </w:p>
        </w:tc>
        <w:tc>
          <w:tcPr>
            <w:tcW w:w="1148" w:type="dxa"/>
            <w:tcBorders>
              <w:top w:val="nil"/>
              <w:left w:val="nil"/>
              <w:bottom w:val="single" w:sz="4" w:space="0" w:color="auto"/>
              <w:right w:val="single" w:sz="4" w:space="0" w:color="auto"/>
            </w:tcBorders>
            <w:shd w:val="clear" w:color="auto" w:fill="auto"/>
            <w:noWrap/>
            <w:vAlign w:val="center"/>
            <w:hideMark/>
          </w:tcPr>
          <w:p w14:paraId="49D6706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60</w:t>
            </w:r>
          </w:p>
        </w:tc>
      </w:tr>
      <w:tr w:rsidR="006D2505" w:rsidRPr="006D2505" w14:paraId="5822A2C1" w14:textId="77777777" w:rsidTr="00257D0C">
        <w:trPr>
          <w:trHeight w:val="2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DEB98C6"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Mayo Kebbi Est</w:t>
            </w:r>
          </w:p>
        </w:tc>
        <w:tc>
          <w:tcPr>
            <w:tcW w:w="1985" w:type="dxa"/>
            <w:tcBorders>
              <w:top w:val="nil"/>
              <w:left w:val="nil"/>
              <w:bottom w:val="single" w:sz="4" w:space="0" w:color="auto"/>
              <w:right w:val="single" w:sz="4" w:space="0" w:color="auto"/>
            </w:tcBorders>
            <w:shd w:val="clear" w:color="auto" w:fill="auto"/>
            <w:noWrap/>
            <w:vAlign w:val="center"/>
            <w:hideMark/>
          </w:tcPr>
          <w:p w14:paraId="2250905D"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Bongor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7BF0E9D" w14:textId="77777777" w:rsidR="006D2505" w:rsidRPr="006D2505" w:rsidRDefault="006D2505" w:rsidP="006D2505">
            <w:pPr>
              <w:widowControl/>
              <w:jc w:val="center"/>
              <w:rPr>
                <w:rFonts w:ascii="Calibri" w:hAnsi="Calibri" w:cs="Calibri"/>
                <w:sz w:val="22"/>
                <w:szCs w:val="22"/>
                <w:lang w:val="en-GB" w:eastAsia="en-GB"/>
              </w:rPr>
            </w:pPr>
            <w:r w:rsidRPr="006D2505">
              <w:rPr>
                <w:rFonts w:ascii="Calibri" w:hAnsi="Calibri" w:cs="Calibri"/>
                <w:sz w:val="22"/>
                <w:szCs w:val="22"/>
                <w:lang w:val="en-GB" w:eastAsia="en-GB"/>
              </w:rPr>
              <w:t>25</w:t>
            </w:r>
          </w:p>
        </w:tc>
        <w:tc>
          <w:tcPr>
            <w:tcW w:w="2116" w:type="dxa"/>
            <w:tcBorders>
              <w:top w:val="nil"/>
              <w:left w:val="nil"/>
              <w:bottom w:val="single" w:sz="4" w:space="0" w:color="auto"/>
              <w:right w:val="single" w:sz="4" w:space="0" w:color="auto"/>
            </w:tcBorders>
            <w:shd w:val="clear" w:color="auto" w:fill="auto"/>
            <w:noWrap/>
            <w:vAlign w:val="center"/>
            <w:hideMark/>
          </w:tcPr>
          <w:p w14:paraId="47A053CF"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8</w:t>
            </w:r>
          </w:p>
        </w:tc>
        <w:tc>
          <w:tcPr>
            <w:tcW w:w="1428" w:type="dxa"/>
            <w:tcBorders>
              <w:top w:val="nil"/>
              <w:left w:val="nil"/>
              <w:bottom w:val="single" w:sz="4" w:space="0" w:color="auto"/>
              <w:right w:val="single" w:sz="4" w:space="0" w:color="auto"/>
            </w:tcBorders>
            <w:shd w:val="clear" w:color="auto" w:fill="auto"/>
            <w:noWrap/>
            <w:vAlign w:val="center"/>
            <w:hideMark/>
          </w:tcPr>
          <w:p w14:paraId="02FBADEC"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208</w:t>
            </w:r>
          </w:p>
        </w:tc>
        <w:tc>
          <w:tcPr>
            <w:tcW w:w="1148" w:type="dxa"/>
            <w:tcBorders>
              <w:top w:val="nil"/>
              <w:left w:val="nil"/>
              <w:bottom w:val="single" w:sz="4" w:space="0" w:color="auto"/>
              <w:right w:val="single" w:sz="4" w:space="0" w:color="auto"/>
            </w:tcBorders>
            <w:shd w:val="clear" w:color="auto" w:fill="auto"/>
            <w:noWrap/>
            <w:vAlign w:val="center"/>
            <w:hideMark/>
          </w:tcPr>
          <w:p w14:paraId="0C4BEF2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83</w:t>
            </w:r>
          </w:p>
        </w:tc>
      </w:tr>
      <w:tr w:rsidR="006D2505" w:rsidRPr="006D2505" w14:paraId="5BFF1A23" w14:textId="77777777" w:rsidTr="00257D0C">
        <w:trPr>
          <w:trHeight w:val="27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3CAB30D"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Mayo Kebbi Est</w:t>
            </w:r>
          </w:p>
        </w:tc>
        <w:tc>
          <w:tcPr>
            <w:tcW w:w="1985" w:type="dxa"/>
            <w:tcBorders>
              <w:top w:val="nil"/>
              <w:left w:val="nil"/>
              <w:bottom w:val="single" w:sz="4" w:space="0" w:color="auto"/>
              <w:right w:val="single" w:sz="4" w:space="0" w:color="auto"/>
            </w:tcBorders>
            <w:shd w:val="clear" w:color="auto" w:fill="auto"/>
            <w:noWrap/>
            <w:vAlign w:val="center"/>
            <w:hideMark/>
          </w:tcPr>
          <w:p w14:paraId="5243C852"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Guelendeng</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D68E063"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10</w:t>
            </w:r>
          </w:p>
        </w:tc>
        <w:tc>
          <w:tcPr>
            <w:tcW w:w="2116" w:type="dxa"/>
            <w:tcBorders>
              <w:top w:val="nil"/>
              <w:left w:val="nil"/>
              <w:bottom w:val="single" w:sz="4" w:space="0" w:color="auto"/>
              <w:right w:val="single" w:sz="4" w:space="0" w:color="auto"/>
            </w:tcBorders>
            <w:shd w:val="clear" w:color="auto" w:fill="auto"/>
            <w:noWrap/>
            <w:vAlign w:val="center"/>
            <w:hideMark/>
          </w:tcPr>
          <w:p w14:paraId="0B74ED5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w:t>
            </w:r>
          </w:p>
        </w:tc>
        <w:tc>
          <w:tcPr>
            <w:tcW w:w="1428" w:type="dxa"/>
            <w:tcBorders>
              <w:top w:val="nil"/>
              <w:left w:val="nil"/>
              <w:bottom w:val="single" w:sz="4" w:space="0" w:color="auto"/>
              <w:right w:val="single" w:sz="4" w:space="0" w:color="auto"/>
            </w:tcBorders>
            <w:shd w:val="clear" w:color="auto" w:fill="auto"/>
            <w:noWrap/>
            <w:vAlign w:val="center"/>
            <w:hideMark/>
          </w:tcPr>
          <w:p w14:paraId="6B94C5E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83</w:t>
            </w:r>
          </w:p>
        </w:tc>
        <w:tc>
          <w:tcPr>
            <w:tcW w:w="1148" w:type="dxa"/>
            <w:tcBorders>
              <w:top w:val="nil"/>
              <w:left w:val="nil"/>
              <w:bottom w:val="single" w:sz="4" w:space="0" w:color="auto"/>
              <w:right w:val="single" w:sz="4" w:space="0" w:color="auto"/>
            </w:tcBorders>
            <w:shd w:val="clear" w:color="auto" w:fill="auto"/>
            <w:noWrap/>
            <w:vAlign w:val="center"/>
            <w:hideMark/>
          </w:tcPr>
          <w:p w14:paraId="45795D5A"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33</w:t>
            </w:r>
          </w:p>
        </w:tc>
      </w:tr>
      <w:tr w:rsidR="006D2505" w:rsidRPr="006D2505" w14:paraId="42E5E058" w14:textId="77777777" w:rsidTr="00257D0C">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49AA5C0"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Mayo Kebbi Est</w:t>
            </w:r>
          </w:p>
        </w:tc>
        <w:tc>
          <w:tcPr>
            <w:tcW w:w="1985" w:type="dxa"/>
            <w:tcBorders>
              <w:top w:val="nil"/>
              <w:left w:val="nil"/>
              <w:bottom w:val="single" w:sz="4" w:space="0" w:color="auto"/>
              <w:right w:val="single" w:sz="4" w:space="0" w:color="auto"/>
            </w:tcBorders>
            <w:shd w:val="clear" w:color="auto" w:fill="auto"/>
            <w:noWrap/>
            <w:vAlign w:val="center"/>
            <w:hideMark/>
          </w:tcPr>
          <w:p w14:paraId="1BD5AC51"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Moulkou</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F4052AD"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8</w:t>
            </w:r>
          </w:p>
        </w:tc>
        <w:tc>
          <w:tcPr>
            <w:tcW w:w="2116" w:type="dxa"/>
            <w:tcBorders>
              <w:top w:val="nil"/>
              <w:left w:val="nil"/>
              <w:bottom w:val="single" w:sz="4" w:space="0" w:color="auto"/>
              <w:right w:val="single" w:sz="4" w:space="0" w:color="auto"/>
            </w:tcBorders>
            <w:shd w:val="clear" w:color="auto" w:fill="auto"/>
            <w:noWrap/>
            <w:vAlign w:val="center"/>
            <w:hideMark/>
          </w:tcPr>
          <w:p w14:paraId="11B099FB"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w:t>
            </w:r>
          </w:p>
        </w:tc>
        <w:tc>
          <w:tcPr>
            <w:tcW w:w="1428" w:type="dxa"/>
            <w:tcBorders>
              <w:top w:val="nil"/>
              <w:left w:val="nil"/>
              <w:bottom w:val="single" w:sz="4" w:space="0" w:color="auto"/>
              <w:right w:val="single" w:sz="4" w:space="0" w:color="auto"/>
            </w:tcBorders>
            <w:shd w:val="clear" w:color="auto" w:fill="auto"/>
            <w:noWrap/>
            <w:vAlign w:val="center"/>
            <w:hideMark/>
          </w:tcPr>
          <w:p w14:paraId="61B6415F"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67</w:t>
            </w:r>
          </w:p>
        </w:tc>
        <w:tc>
          <w:tcPr>
            <w:tcW w:w="1148" w:type="dxa"/>
            <w:tcBorders>
              <w:top w:val="nil"/>
              <w:left w:val="nil"/>
              <w:bottom w:val="single" w:sz="4" w:space="0" w:color="auto"/>
              <w:right w:val="single" w:sz="4" w:space="0" w:color="auto"/>
            </w:tcBorders>
            <w:shd w:val="clear" w:color="auto" w:fill="auto"/>
            <w:noWrap/>
            <w:vAlign w:val="center"/>
            <w:hideMark/>
          </w:tcPr>
          <w:p w14:paraId="27F6D213"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27</w:t>
            </w:r>
          </w:p>
        </w:tc>
      </w:tr>
      <w:tr w:rsidR="006D2505" w:rsidRPr="006D2505" w14:paraId="5C74D28A" w14:textId="77777777" w:rsidTr="00257D0C">
        <w:trPr>
          <w:trHeight w:val="273"/>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07DC67B7"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Mayo Kebbi Est</w:t>
            </w:r>
          </w:p>
        </w:tc>
        <w:tc>
          <w:tcPr>
            <w:tcW w:w="1985" w:type="dxa"/>
            <w:tcBorders>
              <w:top w:val="nil"/>
              <w:left w:val="nil"/>
              <w:bottom w:val="single" w:sz="4" w:space="0" w:color="auto"/>
              <w:right w:val="single" w:sz="4" w:space="0" w:color="auto"/>
            </w:tcBorders>
            <w:shd w:val="clear" w:color="000000" w:fill="FFFFFF"/>
            <w:noWrap/>
            <w:vAlign w:val="center"/>
            <w:hideMark/>
          </w:tcPr>
          <w:p w14:paraId="2D837F7E"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Gam</w:t>
            </w:r>
          </w:p>
        </w:tc>
        <w:tc>
          <w:tcPr>
            <w:tcW w:w="1559" w:type="dxa"/>
            <w:tcBorders>
              <w:top w:val="nil"/>
              <w:left w:val="nil"/>
              <w:bottom w:val="single" w:sz="4" w:space="0" w:color="auto"/>
              <w:right w:val="single" w:sz="4" w:space="0" w:color="auto"/>
            </w:tcBorders>
            <w:shd w:val="clear" w:color="auto" w:fill="auto"/>
            <w:noWrap/>
            <w:vAlign w:val="center"/>
            <w:hideMark/>
          </w:tcPr>
          <w:p w14:paraId="28BEDE7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11</w:t>
            </w:r>
          </w:p>
        </w:tc>
        <w:tc>
          <w:tcPr>
            <w:tcW w:w="2116" w:type="dxa"/>
            <w:tcBorders>
              <w:top w:val="nil"/>
              <w:left w:val="nil"/>
              <w:bottom w:val="single" w:sz="4" w:space="0" w:color="auto"/>
              <w:right w:val="single" w:sz="4" w:space="0" w:color="auto"/>
            </w:tcBorders>
            <w:shd w:val="clear" w:color="auto" w:fill="auto"/>
            <w:noWrap/>
            <w:vAlign w:val="center"/>
            <w:hideMark/>
          </w:tcPr>
          <w:p w14:paraId="3D693EF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10A09C44"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92</w:t>
            </w:r>
          </w:p>
        </w:tc>
        <w:tc>
          <w:tcPr>
            <w:tcW w:w="1148" w:type="dxa"/>
            <w:tcBorders>
              <w:top w:val="nil"/>
              <w:left w:val="nil"/>
              <w:bottom w:val="single" w:sz="4" w:space="0" w:color="auto"/>
              <w:right w:val="single" w:sz="4" w:space="0" w:color="auto"/>
            </w:tcBorders>
            <w:shd w:val="clear" w:color="auto" w:fill="auto"/>
            <w:noWrap/>
            <w:vAlign w:val="center"/>
            <w:hideMark/>
          </w:tcPr>
          <w:p w14:paraId="7C978922"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37</w:t>
            </w:r>
          </w:p>
        </w:tc>
      </w:tr>
      <w:tr w:rsidR="006D2505" w:rsidRPr="006D2505" w14:paraId="7020CDD1" w14:textId="77777777" w:rsidTr="00257D0C">
        <w:trPr>
          <w:trHeight w:val="27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08BDD546"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Mayo Kebbi Est</w:t>
            </w:r>
          </w:p>
        </w:tc>
        <w:tc>
          <w:tcPr>
            <w:tcW w:w="1985" w:type="dxa"/>
            <w:tcBorders>
              <w:top w:val="nil"/>
              <w:left w:val="nil"/>
              <w:bottom w:val="single" w:sz="4" w:space="0" w:color="auto"/>
              <w:right w:val="single" w:sz="4" w:space="0" w:color="auto"/>
            </w:tcBorders>
            <w:shd w:val="clear" w:color="000000" w:fill="FFFFFF"/>
            <w:noWrap/>
            <w:vAlign w:val="center"/>
            <w:hideMark/>
          </w:tcPr>
          <w:p w14:paraId="75AB8970"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KATOA</w:t>
            </w:r>
          </w:p>
        </w:tc>
        <w:tc>
          <w:tcPr>
            <w:tcW w:w="1559" w:type="dxa"/>
            <w:tcBorders>
              <w:top w:val="nil"/>
              <w:left w:val="nil"/>
              <w:bottom w:val="single" w:sz="4" w:space="0" w:color="auto"/>
              <w:right w:val="single" w:sz="4" w:space="0" w:color="auto"/>
            </w:tcBorders>
            <w:shd w:val="clear" w:color="auto" w:fill="auto"/>
            <w:noWrap/>
            <w:vAlign w:val="center"/>
            <w:hideMark/>
          </w:tcPr>
          <w:p w14:paraId="50C47191"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w:t>
            </w:r>
          </w:p>
        </w:tc>
        <w:tc>
          <w:tcPr>
            <w:tcW w:w="2116" w:type="dxa"/>
            <w:tcBorders>
              <w:top w:val="nil"/>
              <w:left w:val="nil"/>
              <w:bottom w:val="single" w:sz="4" w:space="0" w:color="auto"/>
              <w:right w:val="single" w:sz="4" w:space="0" w:color="auto"/>
            </w:tcBorders>
            <w:shd w:val="clear" w:color="auto" w:fill="auto"/>
            <w:noWrap/>
            <w:vAlign w:val="center"/>
            <w:hideMark/>
          </w:tcPr>
          <w:p w14:paraId="1B45A676"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w:t>
            </w:r>
          </w:p>
        </w:tc>
        <w:tc>
          <w:tcPr>
            <w:tcW w:w="1428" w:type="dxa"/>
            <w:tcBorders>
              <w:top w:val="nil"/>
              <w:left w:val="nil"/>
              <w:bottom w:val="single" w:sz="4" w:space="0" w:color="auto"/>
              <w:right w:val="single" w:sz="4" w:space="0" w:color="auto"/>
            </w:tcBorders>
            <w:shd w:val="clear" w:color="auto" w:fill="auto"/>
            <w:noWrap/>
            <w:vAlign w:val="center"/>
            <w:hideMark/>
          </w:tcPr>
          <w:p w14:paraId="2B621E4D"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33</w:t>
            </w:r>
          </w:p>
        </w:tc>
        <w:tc>
          <w:tcPr>
            <w:tcW w:w="1148" w:type="dxa"/>
            <w:tcBorders>
              <w:top w:val="nil"/>
              <w:left w:val="nil"/>
              <w:bottom w:val="single" w:sz="4" w:space="0" w:color="auto"/>
              <w:right w:val="single" w:sz="4" w:space="0" w:color="auto"/>
            </w:tcBorders>
            <w:shd w:val="clear" w:color="auto" w:fill="auto"/>
            <w:noWrap/>
            <w:vAlign w:val="center"/>
            <w:hideMark/>
          </w:tcPr>
          <w:p w14:paraId="6E31308F"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13</w:t>
            </w:r>
          </w:p>
        </w:tc>
      </w:tr>
      <w:tr w:rsidR="006D2505" w:rsidRPr="006D2505" w14:paraId="29BF201B" w14:textId="77777777" w:rsidTr="00257D0C">
        <w:trPr>
          <w:trHeight w:val="27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584AC1C"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3DCB7847"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 Centre</w:t>
            </w:r>
          </w:p>
        </w:tc>
        <w:tc>
          <w:tcPr>
            <w:tcW w:w="1559" w:type="dxa"/>
            <w:tcBorders>
              <w:top w:val="nil"/>
              <w:left w:val="nil"/>
              <w:bottom w:val="single" w:sz="4" w:space="0" w:color="auto"/>
              <w:right w:val="single" w:sz="4" w:space="0" w:color="auto"/>
            </w:tcBorders>
            <w:shd w:val="clear" w:color="auto" w:fill="auto"/>
            <w:noWrap/>
            <w:vAlign w:val="center"/>
            <w:hideMark/>
          </w:tcPr>
          <w:p w14:paraId="41D207EC"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3186B131"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5126E2A8"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5BD2316E"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57</w:t>
            </w:r>
          </w:p>
        </w:tc>
      </w:tr>
      <w:tr w:rsidR="006D2505" w:rsidRPr="006D2505" w14:paraId="73D14EA0" w14:textId="77777777" w:rsidTr="00257D0C">
        <w:trPr>
          <w:trHeight w:val="28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43F68CD"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2FA454C5"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 Est</w:t>
            </w:r>
          </w:p>
        </w:tc>
        <w:tc>
          <w:tcPr>
            <w:tcW w:w="1559" w:type="dxa"/>
            <w:tcBorders>
              <w:top w:val="nil"/>
              <w:left w:val="nil"/>
              <w:bottom w:val="single" w:sz="4" w:space="0" w:color="auto"/>
              <w:right w:val="single" w:sz="4" w:space="0" w:color="auto"/>
            </w:tcBorders>
            <w:shd w:val="clear" w:color="auto" w:fill="auto"/>
            <w:noWrap/>
            <w:vAlign w:val="center"/>
            <w:hideMark/>
          </w:tcPr>
          <w:p w14:paraId="4E54CA4E"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21</w:t>
            </w:r>
          </w:p>
        </w:tc>
        <w:tc>
          <w:tcPr>
            <w:tcW w:w="2116" w:type="dxa"/>
            <w:tcBorders>
              <w:top w:val="nil"/>
              <w:left w:val="nil"/>
              <w:bottom w:val="single" w:sz="4" w:space="0" w:color="auto"/>
              <w:right w:val="single" w:sz="4" w:space="0" w:color="auto"/>
            </w:tcBorders>
            <w:shd w:val="clear" w:color="auto" w:fill="auto"/>
            <w:noWrap/>
            <w:vAlign w:val="center"/>
            <w:hideMark/>
          </w:tcPr>
          <w:p w14:paraId="25E1E9C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7</w:t>
            </w:r>
          </w:p>
        </w:tc>
        <w:tc>
          <w:tcPr>
            <w:tcW w:w="1428" w:type="dxa"/>
            <w:tcBorders>
              <w:top w:val="nil"/>
              <w:left w:val="nil"/>
              <w:bottom w:val="single" w:sz="4" w:space="0" w:color="auto"/>
              <w:right w:val="single" w:sz="4" w:space="0" w:color="auto"/>
            </w:tcBorders>
            <w:shd w:val="clear" w:color="auto" w:fill="auto"/>
            <w:noWrap/>
            <w:vAlign w:val="center"/>
            <w:hideMark/>
          </w:tcPr>
          <w:p w14:paraId="2D59F8B5"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175</w:t>
            </w:r>
          </w:p>
        </w:tc>
        <w:tc>
          <w:tcPr>
            <w:tcW w:w="1148" w:type="dxa"/>
            <w:tcBorders>
              <w:top w:val="nil"/>
              <w:left w:val="nil"/>
              <w:bottom w:val="single" w:sz="4" w:space="0" w:color="auto"/>
              <w:right w:val="single" w:sz="4" w:space="0" w:color="auto"/>
            </w:tcBorders>
            <w:shd w:val="clear" w:color="auto" w:fill="auto"/>
            <w:noWrap/>
            <w:vAlign w:val="center"/>
            <w:hideMark/>
          </w:tcPr>
          <w:p w14:paraId="6FA6F9FD"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70</w:t>
            </w:r>
          </w:p>
        </w:tc>
      </w:tr>
      <w:tr w:rsidR="006D2505" w:rsidRPr="006D2505" w14:paraId="575BFF37" w14:textId="77777777" w:rsidTr="00257D0C">
        <w:trPr>
          <w:trHeight w:val="27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FC249BC"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1B9383A5"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 Nord</w:t>
            </w:r>
          </w:p>
        </w:tc>
        <w:tc>
          <w:tcPr>
            <w:tcW w:w="1559" w:type="dxa"/>
            <w:tcBorders>
              <w:top w:val="nil"/>
              <w:left w:val="nil"/>
              <w:bottom w:val="single" w:sz="4" w:space="0" w:color="auto"/>
              <w:right w:val="single" w:sz="4" w:space="0" w:color="auto"/>
            </w:tcBorders>
            <w:shd w:val="clear" w:color="auto" w:fill="auto"/>
            <w:noWrap/>
            <w:vAlign w:val="center"/>
            <w:hideMark/>
          </w:tcPr>
          <w:p w14:paraId="052E1C53"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5501454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27CFDA60"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6BF955C3"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57</w:t>
            </w:r>
          </w:p>
        </w:tc>
      </w:tr>
      <w:tr w:rsidR="006D2505" w:rsidRPr="006D2505" w14:paraId="30E9BEB8" w14:textId="77777777" w:rsidTr="00257D0C">
        <w:trPr>
          <w:trHeight w:val="27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F5AD80A"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5B1EE986"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 Sud</w:t>
            </w:r>
          </w:p>
        </w:tc>
        <w:tc>
          <w:tcPr>
            <w:tcW w:w="1559" w:type="dxa"/>
            <w:tcBorders>
              <w:top w:val="nil"/>
              <w:left w:val="nil"/>
              <w:bottom w:val="single" w:sz="4" w:space="0" w:color="auto"/>
              <w:right w:val="single" w:sz="4" w:space="0" w:color="auto"/>
            </w:tcBorders>
            <w:shd w:val="clear" w:color="auto" w:fill="auto"/>
            <w:noWrap/>
            <w:vAlign w:val="center"/>
            <w:hideMark/>
          </w:tcPr>
          <w:p w14:paraId="4BF1971D"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29</w:t>
            </w:r>
          </w:p>
        </w:tc>
        <w:tc>
          <w:tcPr>
            <w:tcW w:w="2116" w:type="dxa"/>
            <w:tcBorders>
              <w:top w:val="nil"/>
              <w:left w:val="nil"/>
              <w:bottom w:val="single" w:sz="4" w:space="0" w:color="auto"/>
              <w:right w:val="single" w:sz="4" w:space="0" w:color="auto"/>
            </w:tcBorders>
            <w:shd w:val="clear" w:color="auto" w:fill="auto"/>
            <w:noWrap/>
            <w:vAlign w:val="center"/>
            <w:hideMark/>
          </w:tcPr>
          <w:p w14:paraId="0E3F20C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10</w:t>
            </w:r>
          </w:p>
        </w:tc>
        <w:tc>
          <w:tcPr>
            <w:tcW w:w="1428" w:type="dxa"/>
            <w:tcBorders>
              <w:top w:val="nil"/>
              <w:left w:val="nil"/>
              <w:bottom w:val="single" w:sz="4" w:space="0" w:color="auto"/>
              <w:right w:val="single" w:sz="4" w:space="0" w:color="auto"/>
            </w:tcBorders>
            <w:shd w:val="clear" w:color="auto" w:fill="auto"/>
            <w:noWrap/>
            <w:vAlign w:val="center"/>
            <w:hideMark/>
          </w:tcPr>
          <w:p w14:paraId="7E130EED"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242</w:t>
            </w:r>
          </w:p>
        </w:tc>
        <w:tc>
          <w:tcPr>
            <w:tcW w:w="1148" w:type="dxa"/>
            <w:tcBorders>
              <w:top w:val="nil"/>
              <w:left w:val="nil"/>
              <w:bottom w:val="single" w:sz="4" w:space="0" w:color="auto"/>
              <w:right w:val="single" w:sz="4" w:space="0" w:color="auto"/>
            </w:tcBorders>
            <w:shd w:val="clear" w:color="auto" w:fill="auto"/>
            <w:noWrap/>
            <w:vAlign w:val="center"/>
            <w:hideMark/>
          </w:tcPr>
          <w:p w14:paraId="3C30A2FE"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97</w:t>
            </w:r>
          </w:p>
        </w:tc>
      </w:tr>
      <w:tr w:rsidR="006D2505" w:rsidRPr="006D2505" w14:paraId="48C8416C" w14:textId="77777777" w:rsidTr="00257D0C">
        <w:trPr>
          <w:trHeight w:val="26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2466786"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N'Djamena</w:t>
            </w:r>
          </w:p>
        </w:tc>
        <w:tc>
          <w:tcPr>
            <w:tcW w:w="1985" w:type="dxa"/>
            <w:tcBorders>
              <w:top w:val="nil"/>
              <w:left w:val="nil"/>
              <w:bottom w:val="single" w:sz="4" w:space="0" w:color="auto"/>
              <w:right w:val="single" w:sz="4" w:space="0" w:color="auto"/>
            </w:tcBorders>
            <w:shd w:val="clear" w:color="auto" w:fill="auto"/>
            <w:noWrap/>
            <w:vAlign w:val="center"/>
            <w:hideMark/>
          </w:tcPr>
          <w:p w14:paraId="31FE2884"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Toukra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E652990"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17</w:t>
            </w:r>
          </w:p>
        </w:tc>
        <w:tc>
          <w:tcPr>
            <w:tcW w:w="2116" w:type="dxa"/>
            <w:tcBorders>
              <w:top w:val="nil"/>
              <w:left w:val="nil"/>
              <w:bottom w:val="single" w:sz="4" w:space="0" w:color="auto"/>
              <w:right w:val="single" w:sz="4" w:space="0" w:color="auto"/>
            </w:tcBorders>
            <w:shd w:val="clear" w:color="auto" w:fill="auto"/>
            <w:noWrap/>
            <w:vAlign w:val="center"/>
            <w:hideMark/>
          </w:tcPr>
          <w:p w14:paraId="09F882CF"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433C93D4"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142</w:t>
            </w:r>
          </w:p>
        </w:tc>
        <w:tc>
          <w:tcPr>
            <w:tcW w:w="1148" w:type="dxa"/>
            <w:tcBorders>
              <w:top w:val="nil"/>
              <w:left w:val="nil"/>
              <w:bottom w:val="single" w:sz="4" w:space="0" w:color="auto"/>
              <w:right w:val="single" w:sz="4" w:space="0" w:color="auto"/>
            </w:tcBorders>
            <w:shd w:val="clear" w:color="auto" w:fill="auto"/>
            <w:noWrap/>
            <w:vAlign w:val="center"/>
            <w:hideMark/>
          </w:tcPr>
          <w:p w14:paraId="05FFFE3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57</w:t>
            </w:r>
          </w:p>
        </w:tc>
      </w:tr>
      <w:tr w:rsidR="006D2505" w:rsidRPr="006D2505" w14:paraId="3DB0C031" w14:textId="77777777" w:rsidTr="00257D0C">
        <w:trPr>
          <w:trHeight w:val="26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582A3FA"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Barh</w:t>
            </w:r>
            <w:proofErr w:type="spellEnd"/>
            <w:r w:rsidRPr="006D2505">
              <w:rPr>
                <w:rFonts w:ascii="Calibri" w:hAnsi="Calibri" w:cs="Calibri"/>
                <w:color w:val="000000"/>
                <w:sz w:val="22"/>
                <w:szCs w:val="22"/>
                <w:lang w:val="en-GB" w:eastAsia="en-GB"/>
              </w:rPr>
              <w:t xml:space="preserve"> El </w:t>
            </w:r>
            <w:proofErr w:type="spellStart"/>
            <w:r w:rsidRPr="006D2505">
              <w:rPr>
                <w:rFonts w:ascii="Calibri" w:hAnsi="Calibri" w:cs="Calibri"/>
                <w:color w:val="000000"/>
                <w:sz w:val="22"/>
                <w:szCs w:val="22"/>
                <w:lang w:val="en-GB" w:eastAsia="en-GB"/>
              </w:rPr>
              <w:t>gazal</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3FD97C32"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Chaddra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57E63DB"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18</w:t>
            </w:r>
          </w:p>
        </w:tc>
        <w:tc>
          <w:tcPr>
            <w:tcW w:w="2116" w:type="dxa"/>
            <w:tcBorders>
              <w:top w:val="nil"/>
              <w:left w:val="nil"/>
              <w:bottom w:val="single" w:sz="4" w:space="0" w:color="auto"/>
              <w:right w:val="single" w:sz="4" w:space="0" w:color="auto"/>
            </w:tcBorders>
            <w:shd w:val="clear" w:color="auto" w:fill="auto"/>
            <w:noWrap/>
            <w:vAlign w:val="center"/>
            <w:hideMark/>
          </w:tcPr>
          <w:p w14:paraId="2CC98C4C"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72005736"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150</w:t>
            </w:r>
          </w:p>
        </w:tc>
        <w:tc>
          <w:tcPr>
            <w:tcW w:w="1148" w:type="dxa"/>
            <w:tcBorders>
              <w:top w:val="nil"/>
              <w:left w:val="nil"/>
              <w:bottom w:val="single" w:sz="4" w:space="0" w:color="auto"/>
              <w:right w:val="single" w:sz="4" w:space="0" w:color="auto"/>
            </w:tcBorders>
            <w:shd w:val="clear" w:color="auto" w:fill="auto"/>
            <w:noWrap/>
            <w:vAlign w:val="center"/>
            <w:hideMark/>
          </w:tcPr>
          <w:p w14:paraId="121EABC8"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60</w:t>
            </w:r>
          </w:p>
        </w:tc>
      </w:tr>
      <w:tr w:rsidR="006D2505" w:rsidRPr="006D2505" w14:paraId="3D762653" w14:textId="77777777" w:rsidTr="00257D0C">
        <w:trPr>
          <w:trHeight w:val="285"/>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0C9FBE8"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Barh</w:t>
            </w:r>
            <w:proofErr w:type="spellEnd"/>
            <w:r w:rsidRPr="006D2505">
              <w:rPr>
                <w:rFonts w:ascii="Calibri" w:hAnsi="Calibri" w:cs="Calibri"/>
                <w:color w:val="000000"/>
                <w:sz w:val="22"/>
                <w:szCs w:val="22"/>
                <w:lang w:val="en-GB" w:eastAsia="en-GB"/>
              </w:rPr>
              <w:t xml:space="preserve"> El </w:t>
            </w:r>
            <w:proofErr w:type="spellStart"/>
            <w:r w:rsidRPr="006D2505">
              <w:rPr>
                <w:rFonts w:ascii="Calibri" w:hAnsi="Calibri" w:cs="Calibri"/>
                <w:color w:val="000000"/>
                <w:sz w:val="22"/>
                <w:szCs w:val="22"/>
                <w:lang w:val="en-GB" w:eastAsia="en-GB"/>
              </w:rPr>
              <w:t>gazal</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1FD1C089"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Michemire</w:t>
            </w:r>
          </w:p>
        </w:tc>
        <w:tc>
          <w:tcPr>
            <w:tcW w:w="1559" w:type="dxa"/>
            <w:tcBorders>
              <w:top w:val="nil"/>
              <w:left w:val="nil"/>
              <w:bottom w:val="single" w:sz="4" w:space="0" w:color="auto"/>
              <w:right w:val="single" w:sz="4" w:space="0" w:color="auto"/>
            </w:tcBorders>
            <w:shd w:val="clear" w:color="auto" w:fill="auto"/>
            <w:noWrap/>
            <w:vAlign w:val="center"/>
            <w:hideMark/>
          </w:tcPr>
          <w:p w14:paraId="4CD405A9"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13</w:t>
            </w:r>
          </w:p>
        </w:tc>
        <w:tc>
          <w:tcPr>
            <w:tcW w:w="2116" w:type="dxa"/>
            <w:tcBorders>
              <w:top w:val="nil"/>
              <w:left w:val="nil"/>
              <w:bottom w:val="single" w:sz="4" w:space="0" w:color="auto"/>
              <w:right w:val="single" w:sz="4" w:space="0" w:color="auto"/>
            </w:tcBorders>
            <w:shd w:val="clear" w:color="auto" w:fill="auto"/>
            <w:noWrap/>
            <w:vAlign w:val="center"/>
            <w:hideMark/>
          </w:tcPr>
          <w:p w14:paraId="7CE9FF94"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w:t>
            </w:r>
          </w:p>
        </w:tc>
        <w:tc>
          <w:tcPr>
            <w:tcW w:w="1428" w:type="dxa"/>
            <w:tcBorders>
              <w:top w:val="nil"/>
              <w:left w:val="nil"/>
              <w:bottom w:val="single" w:sz="4" w:space="0" w:color="auto"/>
              <w:right w:val="single" w:sz="4" w:space="0" w:color="auto"/>
            </w:tcBorders>
            <w:shd w:val="clear" w:color="auto" w:fill="auto"/>
            <w:noWrap/>
            <w:vAlign w:val="center"/>
            <w:hideMark/>
          </w:tcPr>
          <w:p w14:paraId="45F6E804"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108</w:t>
            </w:r>
          </w:p>
        </w:tc>
        <w:tc>
          <w:tcPr>
            <w:tcW w:w="1148" w:type="dxa"/>
            <w:tcBorders>
              <w:top w:val="nil"/>
              <w:left w:val="nil"/>
              <w:bottom w:val="single" w:sz="4" w:space="0" w:color="auto"/>
              <w:right w:val="single" w:sz="4" w:space="0" w:color="auto"/>
            </w:tcBorders>
            <w:shd w:val="clear" w:color="auto" w:fill="auto"/>
            <w:noWrap/>
            <w:vAlign w:val="center"/>
            <w:hideMark/>
          </w:tcPr>
          <w:p w14:paraId="2C2FB66C"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43</w:t>
            </w:r>
          </w:p>
        </w:tc>
      </w:tr>
      <w:tr w:rsidR="006D2505" w:rsidRPr="006D2505" w14:paraId="7DB1A84C" w14:textId="77777777" w:rsidTr="00257D0C">
        <w:trPr>
          <w:trHeight w:val="262"/>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8A916DD"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Barh</w:t>
            </w:r>
            <w:proofErr w:type="spellEnd"/>
            <w:r w:rsidRPr="006D2505">
              <w:rPr>
                <w:rFonts w:ascii="Calibri" w:hAnsi="Calibri" w:cs="Calibri"/>
                <w:color w:val="000000"/>
                <w:sz w:val="22"/>
                <w:szCs w:val="22"/>
                <w:lang w:val="en-GB" w:eastAsia="en-GB"/>
              </w:rPr>
              <w:t xml:space="preserve"> El </w:t>
            </w:r>
            <w:proofErr w:type="spellStart"/>
            <w:r w:rsidRPr="006D2505">
              <w:rPr>
                <w:rFonts w:ascii="Calibri" w:hAnsi="Calibri" w:cs="Calibri"/>
                <w:color w:val="000000"/>
                <w:sz w:val="22"/>
                <w:szCs w:val="22"/>
                <w:lang w:val="en-GB" w:eastAsia="en-GB"/>
              </w:rPr>
              <w:t>gazal</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09DF1EE4"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Moussoro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FB0B505"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31</w:t>
            </w:r>
          </w:p>
        </w:tc>
        <w:tc>
          <w:tcPr>
            <w:tcW w:w="2116" w:type="dxa"/>
            <w:tcBorders>
              <w:top w:val="nil"/>
              <w:left w:val="nil"/>
              <w:bottom w:val="single" w:sz="4" w:space="0" w:color="auto"/>
              <w:right w:val="single" w:sz="4" w:space="0" w:color="auto"/>
            </w:tcBorders>
            <w:shd w:val="clear" w:color="auto" w:fill="auto"/>
            <w:noWrap/>
            <w:vAlign w:val="center"/>
            <w:hideMark/>
          </w:tcPr>
          <w:p w14:paraId="491D5064"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10</w:t>
            </w:r>
          </w:p>
        </w:tc>
        <w:tc>
          <w:tcPr>
            <w:tcW w:w="1428" w:type="dxa"/>
            <w:tcBorders>
              <w:top w:val="nil"/>
              <w:left w:val="nil"/>
              <w:bottom w:val="single" w:sz="4" w:space="0" w:color="auto"/>
              <w:right w:val="single" w:sz="4" w:space="0" w:color="auto"/>
            </w:tcBorders>
            <w:shd w:val="clear" w:color="auto" w:fill="auto"/>
            <w:noWrap/>
            <w:vAlign w:val="center"/>
            <w:hideMark/>
          </w:tcPr>
          <w:p w14:paraId="517817C2"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258</w:t>
            </w:r>
          </w:p>
        </w:tc>
        <w:tc>
          <w:tcPr>
            <w:tcW w:w="1148" w:type="dxa"/>
            <w:tcBorders>
              <w:top w:val="nil"/>
              <w:left w:val="nil"/>
              <w:bottom w:val="single" w:sz="4" w:space="0" w:color="auto"/>
              <w:right w:val="single" w:sz="4" w:space="0" w:color="auto"/>
            </w:tcBorders>
            <w:shd w:val="clear" w:color="auto" w:fill="auto"/>
            <w:noWrap/>
            <w:vAlign w:val="center"/>
            <w:hideMark/>
          </w:tcPr>
          <w:p w14:paraId="0734551B"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103</w:t>
            </w:r>
          </w:p>
        </w:tc>
      </w:tr>
      <w:tr w:rsidR="006D2505" w:rsidRPr="006D2505" w14:paraId="05DD90D3" w14:textId="77777777" w:rsidTr="005030A1">
        <w:trPr>
          <w:trHeight w:val="269"/>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2392745B"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Barh</w:t>
            </w:r>
            <w:proofErr w:type="spellEnd"/>
            <w:r w:rsidRPr="006D2505">
              <w:rPr>
                <w:rFonts w:ascii="Calibri" w:hAnsi="Calibri" w:cs="Calibri"/>
                <w:color w:val="000000"/>
                <w:sz w:val="22"/>
                <w:szCs w:val="22"/>
                <w:lang w:val="en-GB" w:eastAsia="en-GB"/>
              </w:rPr>
              <w:t xml:space="preserve"> El </w:t>
            </w:r>
            <w:proofErr w:type="spellStart"/>
            <w:r w:rsidRPr="006D2505">
              <w:rPr>
                <w:rFonts w:ascii="Calibri" w:hAnsi="Calibri" w:cs="Calibri"/>
                <w:color w:val="000000"/>
                <w:sz w:val="22"/>
                <w:szCs w:val="22"/>
                <w:lang w:val="en-GB" w:eastAsia="en-GB"/>
              </w:rPr>
              <w:t>gazal</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44868D91"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Salal</w:t>
            </w:r>
          </w:p>
        </w:tc>
        <w:tc>
          <w:tcPr>
            <w:tcW w:w="1559" w:type="dxa"/>
            <w:tcBorders>
              <w:top w:val="nil"/>
              <w:left w:val="nil"/>
              <w:bottom w:val="single" w:sz="4" w:space="0" w:color="auto"/>
              <w:right w:val="single" w:sz="4" w:space="0" w:color="auto"/>
            </w:tcBorders>
            <w:shd w:val="clear" w:color="auto" w:fill="auto"/>
            <w:noWrap/>
            <w:vAlign w:val="center"/>
            <w:hideMark/>
          </w:tcPr>
          <w:p w14:paraId="78F1CA97"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14</w:t>
            </w:r>
          </w:p>
        </w:tc>
        <w:tc>
          <w:tcPr>
            <w:tcW w:w="2116" w:type="dxa"/>
            <w:tcBorders>
              <w:top w:val="nil"/>
              <w:left w:val="nil"/>
              <w:bottom w:val="single" w:sz="4" w:space="0" w:color="auto"/>
              <w:right w:val="single" w:sz="4" w:space="0" w:color="auto"/>
            </w:tcBorders>
            <w:shd w:val="clear" w:color="auto" w:fill="auto"/>
            <w:noWrap/>
            <w:vAlign w:val="center"/>
            <w:hideMark/>
          </w:tcPr>
          <w:p w14:paraId="6EF5F7AB"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5</w:t>
            </w:r>
          </w:p>
        </w:tc>
        <w:tc>
          <w:tcPr>
            <w:tcW w:w="1428" w:type="dxa"/>
            <w:tcBorders>
              <w:top w:val="nil"/>
              <w:left w:val="nil"/>
              <w:bottom w:val="single" w:sz="4" w:space="0" w:color="auto"/>
              <w:right w:val="single" w:sz="4" w:space="0" w:color="auto"/>
            </w:tcBorders>
            <w:shd w:val="clear" w:color="auto" w:fill="auto"/>
            <w:noWrap/>
            <w:vAlign w:val="center"/>
            <w:hideMark/>
          </w:tcPr>
          <w:p w14:paraId="2EA40738"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117</w:t>
            </w:r>
          </w:p>
        </w:tc>
        <w:tc>
          <w:tcPr>
            <w:tcW w:w="1148" w:type="dxa"/>
            <w:tcBorders>
              <w:top w:val="nil"/>
              <w:left w:val="nil"/>
              <w:bottom w:val="single" w:sz="4" w:space="0" w:color="auto"/>
              <w:right w:val="single" w:sz="4" w:space="0" w:color="auto"/>
            </w:tcBorders>
            <w:shd w:val="clear" w:color="auto" w:fill="auto"/>
            <w:noWrap/>
            <w:vAlign w:val="center"/>
            <w:hideMark/>
          </w:tcPr>
          <w:p w14:paraId="65B5ADE8"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47</w:t>
            </w:r>
          </w:p>
        </w:tc>
      </w:tr>
      <w:tr w:rsidR="006D2505" w:rsidRPr="006D2505" w14:paraId="4A13BB93" w14:textId="77777777" w:rsidTr="005030A1">
        <w:trPr>
          <w:trHeight w:val="261"/>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2009A594" w14:textId="77777777" w:rsidR="006D2505" w:rsidRPr="006D2505" w:rsidRDefault="006D2505" w:rsidP="006D2505">
            <w:pPr>
              <w:widowControl/>
              <w:rPr>
                <w:rFonts w:ascii="Calibri" w:hAnsi="Calibri" w:cs="Calibri"/>
                <w:color w:val="000000"/>
                <w:sz w:val="22"/>
                <w:szCs w:val="22"/>
                <w:lang w:val="en-GB" w:eastAsia="en-GB"/>
              </w:rPr>
            </w:pPr>
            <w:proofErr w:type="spellStart"/>
            <w:r w:rsidRPr="006D2505">
              <w:rPr>
                <w:rFonts w:ascii="Calibri" w:hAnsi="Calibri" w:cs="Calibri"/>
                <w:color w:val="000000"/>
                <w:sz w:val="22"/>
                <w:szCs w:val="22"/>
                <w:lang w:val="en-GB" w:eastAsia="en-GB"/>
              </w:rPr>
              <w:t>Batha</w:t>
            </w:r>
            <w:proofErr w:type="spellEnd"/>
          </w:p>
        </w:tc>
        <w:tc>
          <w:tcPr>
            <w:tcW w:w="1985" w:type="dxa"/>
            <w:tcBorders>
              <w:top w:val="nil"/>
              <w:left w:val="nil"/>
              <w:bottom w:val="single" w:sz="4" w:space="0" w:color="auto"/>
              <w:right w:val="single" w:sz="4" w:space="0" w:color="auto"/>
            </w:tcBorders>
            <w:shd w:val="clear" w:color="000000" w:fill="FFFFFF"/>
            <w:noWrap/>
            <w:vAlign w:val="center"/>
            <w:hideMark/>
          </w:tcPr>
          <w:p w14:paraId="2D21D7B6" w14:textId="77777777" w:rsidR="006D2505" w:rsidRPr="006D2505" w:rsidRDefault="006D2505" w:rsidP="006D2505">
            <w:pPr>
              <w:widowControl/>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Yao</w:t>
            </w:r>
          </w:p>
        </w:tc>
        <w:tc>
          <w:tcPr>
            <w:tcW w:w="1559" w:type="dxa"/>
            <w:tcBorders>
              <w:top w:val="nil"/>
              <w:left w:val="nil"/>
              <w:bottom w:val="single" w:sz="4" w:space="0" w:color="auto"/>
              <w:right w:val="single" w:sz="4" w:space="0" w:color="auto"/>
            </w:tcBorders>
            <w:shd w:val="clear" w:color="auto" w:fill="auto"/>
            <w:noWrap/>
            <w:vAlign w:val="center"/>
            <w:hideMark/>
          </w:tcPr>
          <w:p w14:paraId="065D3CC2"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18</w:t>
            </w:r>
          </w:p>
        </w:tc>
        <w:tc>
          <w:tcPr>
            <w:tcW w:w="2116" w:type="dxa"/>
            <w:tcBorders>
              <w:top w:val="nil"/>
              <w:left w:val="nil"/>
              <w:bottom w:val="single" w:sz="4" w:space="0" w:color="auto"/>
              <w:right w:val="single" w:sz="4" w:space="0" w:color="auto"/>
            </w:tcBorders>
            <w:shd w:val="clear" w:color="auto" w:fill="auto"/>
            <w:noWrap/>
            <w:vAlign w:val="center"/>
            <w:hideMark/>
          </w:tcPr>
          <w:p w14:paraId="41F09792"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w:t>
            </w:r>
          </w:p>
        </w:tc>
        <w:tc>
          <w:tcPr>
            <w:tcW w:w="1428" w:type="dxa"/>
            <w:tcBorders>
              <w:top w:val="nil"/>
              <w:left w:val="nil"/>
              <w:bottom w:val="single" w:sz="4" w:space="0" w:color="auto"/>
              <w:right w:val="single" w:sz="4" w:space="0" w:color="auto"/>
            </w:tcBorders>
            <w:shd w:val="clear" w:color="auto" w:fill="auto"/>
            <w:noWrap/>
            <w:vAlign w:val="center"/>
            <w:hideMark/>
          </w:tcPr>
          <w:p w14:paraId="2F254F41"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150</w:t>
            </w:r>
          </w:p>
        </w:tc>
        <w:tc>
          <w:tcPr>
            <w:tcW w:w="1148" w:type="dxa"/>
            <w:tcBorders>
              <w:top w:val="nil"/>
              <w:left w:val="nil"/>
              <w:bottom w:val="single" w:sz="4" w:space="0" w:color="auto"/>
              <w:right w:val="single" w:sz="4" w:space="0" w:color="auto"/>
            </w:tcBorders>
            <w:shd w:val="clear" w:color="auto" w:fill="auto"/>
            <w:noWrap/>
            <w:vAlign w:val="center"/>
            <w:hideMark/>
          </w:tcPr>
          <w:p w14:paraId="455E3493" w14:textId="77777777" w:rsidR="006D2505" w:rsidRPr="006D2505" w:rsidRDefault="006D2505" w:rsidP="006D2505">
            <w:pPr>
              <w:widowControl/>
              <w:jc w:val="center"/>
              <w:rPr>
                <w:rFonts w:ascii="Calibri" w:hAnsi="Calibri" w:cs="Calibri"/>
                <w:color w:val="000000"/>
                <w:sz w:val="22"/>
                <w:szCs w:val="22"/>
                <w:lang w:val="en-GB" w:eastAsia="en-GB"/>
              </w:rPr>
            </w:pPr>
            <w:r w:rsidRPr="006D2505">
              <w:rPr>
                <w:rFonts w:ascii="Calibri" w:hAnsi="Calibri" w:cs="Calibri"/>
                <w:color w:val="000000"/>
                <w:sz w:val="22"/>
                <w:szCs w:val="22"/>
                <w:lang w:val="en-GB" w:eastAsia="en-GB"/>
              </w:rPr>
              <w:t>60</w:t>
            </w:r>
          </w:p>
        </w:tc>
      </w:tr>
      <w:tr w:rsidR="006D2505" w:rsidRPr="006D2505" w14:paraId="00A45480" w14:textId="77777777" w:rsidTr="005030A1">
        <w:trPr>
          <w:trHeight w:val="126"/>
        </w:trPr>
        <w:tc>
          <w:tcPr>
            <w:tcW w:w="1838" w:type="dxa"/>
            <w:tcBorders>
              <w:top w:val="nil"/>
              <w:left w:val="single" w:sz="4" w:space="0" w:color="auto"/>
              <w:bottom w:val="single" w:sz="4" w:space="0" w:color="auto"/>
              <w:right w:val="single" w:sz="4" w:space="0" w:color="auto"/>
            </w:tcBorders>
            <w:shd w:val="clear" w:color="000000" w:fill="92D050"/>
            <w:noWrap/>
            <w:vAlign w:val="center"/>
            <w:hideMark/>
          </w:tcPr>
          <w:p w14:paraId="720FDDE0" w14:textId="77777777" w:rsidR="006D2505" w:rsidRPr="006D2505" w:rsidRDefault="006D2505" w:rsidP="006D2505">
            <w:pPr>
              <w:widowControl/>
              <w:rPr>
                <w:rFonts w:ascii="Calibri" w:hAnsi="Calibri" w:cs="Calibri"/>
                <w:b/>
                <w:bCs/>
                <w:sz w:val="22"/>
                <w:szCs w:val="22"/>
                <w:lang w:val="en-GB" w:eastAsia="en-GB"/>
              </w:rPr>
            </w:pPr>
            <w:r w:rsidRPr="006D2505">
              <w:rPr>
                <w:rFonts w:ascii="Calibri" w:hAnsi="Calibri" w:cs="Calibri"/>
                <w:b/>
                <w:bCs/>
                <w:sz w:val="22"/>
                <w:szCs w:val="22"/>
                <w:lang w:val="en-GB" w:eastAsia="en-GB"/>
              </w:rPr>
              <w:t>Total</w:t>
            </w:r>
          </w:p>
        </w:tc>
        <w:tc>
          <w:tcPr>
            <w:tcW w:w="1985" w:type="dxa"/>
            <w:tcBorders>
              <w:top w:val="nil"/>
              <w:left w:val="nil"/>
              <w:bottom w:val="single" w:sz="4" w:space="0" w:color="auto"/>
              <w:right w:val="single" w:sz="4" w:space="0" w:color="auto"/>
            </w:tcBorders>
            <w:shd w:val="clear" w:color="000000" w:fill="92D050"/>
            <w:noWrap/>
            <w:vAlign w:val="bottom"/>
            <w:hideMark/>
          </w:tcPr>
          <w:p w14:paraId="65BFD4A8" w14:textId="77777777" w:rsidR="006D2505" w:rsidRPr="006D2505" w:rsidRDefault="006D2505" w:rsidP="006D2505">
            <w:pPr>
              <w:widowControl/>
              <w:rPr>
                <w:rFonts w:ascii="Calibri" w:hAnsi="Calibri" w:cs="Calibri"/>
                <w:b/>
                <w:bCs/>
                <w:sz w:val="22"/>
                <w:szCs w:val="22"/>
                <w:lang w:val="en-GB" w:eastAsia="en-GB"/>
              </w:rPr>
            </w:pPr>
            <w:r w:rsidRPr="006D2505">
              <w:rPr>
                <w:rFonts w:ascii="Calibri" w:hAnsi="Calibri" w:cs="Calibri"/>
                <w:b/>
                <w:bCs/>
                <w:sz w:val="22"/>
                <w:szCs w:val="22"/>
                <w:lang w:val="en-GB" w:eastAsia="en-GB"/>
              </w:rPr>
              <w:t> </w:t>
            </w:r>
          </w:p>
        </w:tc>
        <w:tc>
          <w:tcPr>
            <w:tcW w:w="1559" w:type="dxa"/>
            <w:tcBorders>
              <w:top w:val="nil"/>
              <w:left w:val="nil"/>
              <w:bottom w:val="single" w:sz="4" w:space="0" w:color="auto"/>
              <w:right w:val="single" w:sz="4" w:space="0" w:color="auto"/>
            </w:tcBorders>
            <w:shd w:val="clear" w:color="000000" w:fill="92D050"/>
            <w:noWrap/>
            <w:vAlign w:val="center"/>
            <w:hideMark/>
          </w:tcPr>
          <w:p w14:paraId="0B4E1BA8" w14:textId="77777777" w:rsidR="006D2505" w:rsidRPr="006D2505" w:rsidRDefault="006D2505" w:rsidP="006D2505">
            <w:pPr>
              <w:widowControl/>
              <w:jc w:val="center"/>
              <w:rPr>
                <w:rFonts w:ascii="Calibri" w:hAnsi="Calibri" w:cs="Calibri"/>
                <w:b/>
                <w:bCs/>
                <w:sz w:val="22"/>
                <w:szCs w:val="22"/>
                <w:lang w:val="en-GB" w:eastAsia="en-GB"/>
              </w:rPr>
            </w:pPr>
            <w:r w:rsidRPr="006D2505">
              <w:rPr>
                <w:rFonts w:ascii="Calibri" w:hAnsi="Calibri" w:cs="Calibri"/>
                <w:b/>
                <w:bCs/>
                <w:sz w:val="22"/>
                <w:szCs w:val="22"/>
                <w:lang w:val="en-GB" w:eastAsia="en-GB"/>
              </w:rPr>
              <w:t>435</w:t>
            </w:r>
          </w:p>
        </w:tc>
        <w:tc>
          <w:tcPr>
            <w:tcW w:w="2116" w:type="dxa"/>
            <w:tcBorders>
              <w:top w:val="nil"/>
              <w:left w:val="nil"/>
              <w:bottom w:val="single" w:sz="4" w:space="0" w:color="auto"/>
              <w:right w:val="single" w:sz="4" w:space="0" w:color="auto"/>
            </w:tcBorders>
            <w:shd w:val="clear" w:color="000000" w:fill="92D050"/>
            <w:noWrap/>
            <w:vAlign w:val="center"/>
            <w:hideMark/>
          </w:tcPr>
          <w:p w14:paraId="4E87C1B7" w14:textId="77777777" w:rsidR="006D2505" w:rsidRPr="006D2505" w:rsidRDefault="006D2505" w:rsidP="006D2505">
            <w:pPr>
              <w:widowControl/>
              <w:jc w:val="center"/>
              <w:rPr>
                <w:rFonts w:ascii="Calibri" w:hAnsi="Calibri" w:cs="Calibri"/>
                <w:b/>
                <w:bCs/>
                <w:sz w:val="22"/>
                <w:szCs w:val="22"/>
                <w:lang w:val="en-GB" w:eastAsia="en-GB"/>
              </w:rPr>
            </w:pPr>
            <w:r w:rsidRPr="006D2505">
              <w:rPr>
                <w:rFonts w:ascii="Calibri" w:hAnsi="Calibri" w:cs="Calibri"/>
                <w:b/>
                <w:bCs/>
                <w:sz w:val="22"/>
                <w:szCs w:val="22"/>
                <w:lang w:val="en-GB" w:eastAsia="en-GB"/>
              </w:rPr>
              <w:t>145</w:t>
            </w:r>
          </w:p>
        </w:tc>
        <w:tc>
          <w:tcPr>
            <w:tcW w:w="1428" w:type="dxa"/>
            <w:tcBorders>
              <w:top w:val="nil"/>
              <w:left w:val="nil"/>
              <w:bottom w:val="single" w:sz="4" w:space="0" w:color="auto"/>
              <w:right w:val="single" w:sz="4" w:space="0" w:color="auto"/>
            </w:tcBorders>
            <w:shd w:val="clear" w:color="000000" w:fill="92D050"/>
            <w:noWrap/>
            <w:vAlign w:val="center"/>
            <w:hideMark/>
          </w:tcPr>
          <w:p w14:paraId="53C4D760" w14:textId="2F6EF88B" w:rsidR="006D2505" w:rsidRPr="006D2505" w:rsidRDefault="006D2505" w:rsidP="006D2505">
            <w:pPr>
              <w:widowControl/>
              <w:jc w:val="center"/>
              <w:rPr>
                <w:rFonts w:ascii="Calibri" w:hAnsi="Calibri" w:cs="Calibri"/>
                <w:b/>
                <w:bCs/>
                <w:sz w:val="22"/>
                <w:szCs w:val="22"/>
                <w:lang w:val="en-GB" w:eastAsia="en-GB"/>
              </w:rPr>
            </w:pPr>
            <w:r w:rsidRPr="006D2505">
              <w:rPr>
                <w:rFonts w:ascii="Calibri" w:hAnsi="Calibri" w:cs="Calibri"/>
                <w:b/>
                <w:bCs/>
                <w:sz w:val="22"/>
                <w:szCs w:val="22"/>
                <w:lang w:val="en-GB" w:eastAsia="en-GB"/>
              </w:rPr>
              <w:t xml:space="preserve">3 625   </w:t>
            </w:r>
          </w:p>
        </w:tc>
        <w:tc>
          <w:tcPr>
            <w:tcW w:w="1148" w:type="dxa"/>
            <w:tcBorders>
              <w:top w:val="nil"/>
              <w:left w:val="nil"/>
              <w:bottom w:val="single" w:sz="4" w:space="0" w:color="auto"/>
              <w:right w:val="single" w:sz="4" w:space="0" w:color="auto"/>
            </w:tcBorders>
            <w:shd w:val="clear" w:color="000000" w:fill="92D050"/>
            <w:noWrap/>
            <w:vAlign w:val="center"/>
            <w:hideMark/>
          </w:tcPr>
          <w:p w14:paraId="41875A69" w14:textId="26629806" w:rsidR="006D2505" w:rsidRPr="006D2505" w:rsidRDefault="006D2505" w:rsidP="006D2505">
            <w:pPr>
              <w:widowControl/>
              <w:jc w:val="center"/>
              <w:rPr>
                <w:rFonts w:ascii="Calibri" w:hAnsi="Calibri" w:cs="Calibri"/>
                <w:b/>
                <w:bCs/>
                <w:sz w:val="22"/>
                <w:szCs w:val="22"/>
                <w:lang w:val="en-GB" w:eastAsia="en-GB"/>
              </w:rPr>
            </w:pPr>
            <w:r w:rsidRPr="006D2505">
              <w:rPr>
                <w:rFonts w:ascii="Calibri" w:hAnsi="Calibri" w:cs="Calibri"/>
                <w:b/>
                <w:bCs/>
                <w:sz w:val="22"/>
                <w:szCs w:val="22"/>
                <w:lang w:val="en-GB" w:eastAsia="en-GB"/>
              </w:rPr>
              <w:t xml:space="preserve">1 450   </w:t>
            </w:r>
          </w:p>
        </w:tc>
      </w:tr>
    </w:tbl>
    <w:p w14:paraId="79D81523" w14:textId="77777777" w:rsidR="00D83D48" w:rsidRDefault="00D83D48" w:rsidP="00D83D48">
      <w:pPr>
        <w:spacing w:after="120" w:line="276" w:lineRule="auto"/>
        <w:jc w:val="both"/>
        <w:rPr>
          <w:rFonts w:ascii="Candara" w:hAnsi="Candara" w:cs="Arial"/>
          <w:sz w:val="24"/>
          <w:szCs w:val="24"/>
          <w:lang w:val="fr-FR"/>
        </w:rPr>
      </w:pPr>
    </w:p>
    <w:p w14:paraId="71AFE562" w14:textId="22F5B44C"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 xml:space="preserve">6) Dans chacune des zones de supervision, </w:t>
      </w:r>
      <w:r w:rsidR="006D2505">
        <w:rPr>
          <w:rFonts w:ascii="Candara" w:hAnsi="Candara" w:cs="Arial"/>
          <w:sz w:val="22"/>
          <w:szCs w:val="22"/>
          <w:lang w:val="fr-FR"/>
        </w:rPr>
        <w:t>10</w:t>
      </w:r>
      <w:r w:rsidRPr="00F544E6">
        <w:rPr>
          <w:rFonts w:ascii="Candara" w:hAnsi="Candara" w:cs="Arial"/>
          <w:sz w:val="22"/>
          <w:szCs w:val="22"/>
          <w:lang w:val="fr-FR"/>
        </w:rPr>
        <w:t xml:space="preserve"> vill</w:t>
      </w:r>
      <w:r w:rsidR="005D7990" w:rsidRPr="00F544E6">
        <w:rPr>
          <w:rFonts w:ascii="Candara" w:hAnsi="Candara" w:cs="Arial"/>
          <w:sz w:val="22"/>
          <w:szCs w:val="22"/>
          <w:lang w:val="fr-FR"/>
        </w:rPr>
        <w:t>ages/quartiers/</w:t>
      </w:r>
      <w:proofErr w:type="spellStart"/>
      <w:r w:rsidR="005D7990" w:rsidRPr="00F544E6">
        <w:rPr>
          <w:rFonts w:ascii="Candara" w:hAnsi="Candara" w:cs="Arial"/>
          <w:sz w:val="22"/>
          <w:szCs w:val="22"/>
          <w:lang w:val="fr-FR"/>
        </w:rPr>
        <w:t>ferricks</w:t>
      </w:r>
      <w:proofErr w:type="spellEnd"/>
      <w:r w:rsidR="005D7990" w:rsidRPr="00F544E6">
        <w:rPr>
          <w:rFonts w:ascii="Candara" w:hAnsi="Candara" w:cs="Arial"/>
          <w:sz w:val="22"/>
          <w:szCs w:val="22"/>
          <w:lang w:val="fr-FR"/>
        </w:rPr>
        <w:t xml:space="preserve"> vont être </w:t>
      </w:r>
      <w:r w:rsidRPr="00F544E6">
        <w:rPr>
          <w:rFonts w:ascii="Candara" w:hAnsi="Candara" w:cs="Arial"/>
          <w:sz w:val="22"/>
          <w:szCs w:val="22"/>
          <w:lang w:val="fr-FR"/>
        </w:rPr>
        <w:t>sélectionné aléatoirement, et au sein de chaque village/quartier/</w:t>
      </w:r>
      <w:proofErr w:type="spellStart"/>
      <w:r w:rsidRPr="00F544E6">
        <w:rPr>
          <w:rFonts w:ascii="Candara" w:hAnsi="Candara" w:cs="Arial"/>
          <w:sz w:val="22"/>
          <w:szCs w:val="22"/>
          <w:lang w:val="fr-FR"/>
        </w:rPr>
        <w:t>ferrick</w:t>
      </w:r>
      <w:proofErr w:type="spellEnd"/>
      <w:r w:rsidR="005D7990" w:rsidRPr="00F544E6">
        <w:rPr>
          <w:rFonts w:ascii="Candara" w:hAnsi="Candara" w:cs="Arial"/>
          <w:sz w:val="22"/>
          <w:szCs w:val="22"/>
          <w:lang w:val="fr-FR"/>
        </w:rPr>
        <w:t>,</w:t>
      </w:r>
      <w:r w:rsidRPr="00F544E6">
        <w:rPr>
          <w:rFonts w:ascii="Candara" w:hAnsi="Candara" w:cs="Arial"/>
          <w:sz w:val="22"/>
          <w:szCs w:val="22"/>
          <w:lang w:val="fr-FR"/>
        </w:rPr>
        <w:t xml:space="preserve"> 3 ménages</w:t>
      </w:r>
      <w:r w:rsidR="005D7990" w:rsidRPr="00F544E6">
        <w:rPr>
          <w:rFonts w:ascii="Candara" w:hAnsi="Candara" w:cs="Arial"/>
          <w:sz w:val="22"/>
          <w:szCs w:val="22"/>
          <w:lang w:val="fr-FR"/>
        </w:rPr>
        <w:t xml:space="preserve"> vont aussi être </w:t>
      </w:r>
      <w:r w:rsidRPr="00F544E6">
        <w:rPr>
          <w:rFonts w:ascii="Candara" w:hAnsi="Candara" w:cs="Arial"/>
          <w:sz w:val="22"/>
          <w:szCs w:val="22"/>
          <w:lang w:val="fr-FR"/>
        </w:rPr>
        <w:t xml:space="preserve">sélectionnés aléatoirement pendant l’enquête (Reference au protocole de Malaria Consortium pour le choix pour la définition des ZS et de la taille des Ménages). </w:t>
      </w:r>
    </w:p>
    <w:p w14:paraId="03FFE29B" w14:textId="77777777"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lastRenderedPageBreak/>
        <w:t>7) Au Tchad comme dans les zones sahéliennes de l’Afrique de l’Ouest, les ménages individuels sont rarement considérés comme des structures autonomes. En raison de la complexité des structures familiales (par exemple, polygamie) et des facteurs socio-économiques, les ménages vivent généralement en agglomération à l'intérieur d’une concession. Concrètement, cela signifie que lorsqu'une équipe d'intervieweurs frappe à une seule porte, elle trouvera très probablement un nombre variable de ménages, et par conséquent plusieurs gardiennes d’enfants et leurs enfants.</w:t>
      </w:r>
    </w:p>
    <w:p w14:paraId="0AA50D7C" w14:textId="77777777" w:rsidR="00D83D48" w:rsidRPr="00F544E6" w:rsidRDefault="00D83D48" w:rsidP="00D83D48">
      <w:pPr>
        <w:spacing w:after="120" w:line="276" w:lineRule="auto"/>
        <w:jc w:val="both"/>
        <w:rPr>
          <w:rFonts w:ascii="Candara" w:hAnsi="Candara" w:cs="Arial"/>
          <w:sz w:val="22"/>
          <w:szCs w:val="22"/>
          <w:lang w:val="fr-FR"/>
        </w:rPr>
      </w:pPr>
      <w:r w:rsidRPr="00F544E6">
        <w:rPr>
          <w:rFonts w:ascii="Candara" w:hAnsi="Candara" w:cs="Arial"/>
          <w:sz w:val="22"/>
          <w:szCs w:val="22"/>
          <w:lang w:val="fr-FR"/>
        </w:rPr>
        <w:t xml:space="preserve">Pour répondre aux besoins de cette enquête sur la couverture, </w:t>
      </w:r>
      <w:r w:rsidRPr="00F544E6">
        <w:rPr>
          <w:rFonts w:ascii="Candara" w:hAnsi="Candara" w:cs="Arial"/>
          <w:i/>
          <w:sz w:val="22"/>
          <w:szCs w:val="22"/>
          <w:lang w:val="fr-FR"/>
        </w:rPr>
        <w:t>l'unité d'analyse est définie comme une seule personne responsable des soins de l'enfant qui parle de tous ses enfants</w:t>
      </w:r>
      <w:r w:rsidRPr="00F544E6">
        <w:rPr>
          <w:rFonts w:ascii="Candara" w:hAnsi="Candara" w:cs="Arial"/>
          <w:sz w:val="22"/>
          <w:szCs w:val="22"/>
          <w:lang w:val="fr-FR"/>
        </w:rPr>
        <w:t>.</w:t>
      </w:r>
    </w:p>
    <w:p w14:paraId="7902F1DC" w14:textId="77777777" w:rsidR="00D83D48" w:rsidRPr="00F544E6" w:rsidRDefault="00D83D48" w:rsidP="00D83D48">
      <w:pPr>
        <w:autoSpaceDE w:val="0"/>
        <w:autoSpaceDN w:val="0"/>
        <w:adjustRightInd w:val="0"/>
        <w:spacing w:line="276" w:lineRule="auto"/>
        <w:jc w:val="both"/>
        <w:rPr>
          <w:rFonts w:ascii="Candara" w:hAnsi="Candara" w:cs="Arial"/>
          <w:bCs/>
          <w:sz w:val="22"/>
          <w:szCs w:val="22"/>
          <w:lang w:val="fr-FR"/>
        </w:rPr>
      </w:pPr>
    </w:p>
    <w:p w14:paraId="01057E63" w14:textId="77777777" w:rsidR="00D83D48" w:rsidRPr="00F544E6" w:rsidRDefault="00D83D48" w:rsidP="00D83D48">
      <w:pPr>
        <w:autoSpaceDE w:val="0"/>
        <w:autoSpaceDN w:val="0"/>
        <w:adjustRightInd w:val="0"/>
        <w:spacing w:line="276" w:lineRule="auto"/>
        <w:jc w:val="both"/>
        <w:rPr>
          <w:rFonts w:ascii="Candara" w:hAnsi="Candara" w:cs="Arial"/>
          <w:bCs/>
          <w:sz w:val="22"/>
          <w:szCs w:val="22"/>
          <w:lang w:val="fr-FR"/>
        </w:rPr>
      </w:pPr>
      <w:r w:rsidRPr="00F544E6">
        <w:rPr>
          <w:rFonts w:ascii="Candara" w:hAnsi="Candara" w:cs="Arial"/>
          <w:bCs/>
          <w:sz w:val="22"/>
          <w:szCs w:val="22"/>
          <w:lang w:val="fr-FR"/>
        </w:rPr>
        <w:t>Indicateurs de l’enquête de couverture (en gras, les indicateurs prioritaires à inclure dans le rapport préliminaire</w:t>
      </w:r>
      <w:r w:rsidRPr="00F544E6">
        <w:rPr>
          <w:rFonts w:ascii="Candara" w:hAnsi="Candara" w:cs="Arial"/>
          <w:bCs/>
          <w:i/>
          <w:sz w:val="22"/>
          <w:szCs w:val="22"/>
          <w:lang w:val="fr-FR"/>
        </w:rPr>
        <w:t>)</w:t>
      </w:r>
      <w:r w:rsidRPr="00F544E6">
        <w:rPr>
          <w:rFonts w:ascii="Candara" w:hAnsi="Candara" w:cs="Arial"/>
          <w:bCs/>
          <w:sz w:val="22"/>
          <w:szCs w:val="22"/>
          <w:lang w:val="fr-FR"/>
        </w:rPr>
        <w:t> :</w:t>
      </w:r>
    </w:p>
    <w:p w14:paraId="4ACE3A03" w14:textId="77777777" w:rsidR="00D83D48" w:rsidRPr="00F544E6" w:rsidRDefault="00D83D48" w:rsidP="00D83D48">
      <w:pPr>
        <w:autoSpaceDE w:val="0"/>
        <w:autoSpaceDN w:val="0"/>
        <w:adjustRightInd w:val="0"/>
        <w:spacing w:line="276" w:lineRule="auto"/>
        <w:jc w:val="both"/>
        <w:rPr>
          <w:rFonts w:ascii="Candara" w:hAnsi="Candara" w:cs="Arial"/>
          <w:b/>
          <w:bCs/>
          <w:sz w:val="22"/>
          <w:szCs w:val="22"/>
          <w:lang w:val="fr-FR"/>
        </w:rPr>
      </w:pPr>
    </w:p>
    <w:p w14:paraId="649458B6" w14:textId="77777777" w:rsidR="00D83D48" w:rsidRPr="00F544E6" w:rsidRDefault="00D83D48" w:rsidP="00D83D48">
      <w:pPr>
        <w:spacing w:line="276" w:lineRule="auto"/>
        <w:jc w:val="both"/>
        <w:rPr>
          <w:rFonts w:asciiTheme="majorHAnsi" w:hAnsiTheme="majorHAnsi" w:cstheme="majorHAnsi"/>
          <w:sz w:val="22"/>
          <w:szCs w:val="22"/>
          <w:lang w:val="fr-FR"/>
        </w:rPr>
      </w:pPr>
      <w:r w:rsidRPr="00F544E6">
        <w:rPr>
          <w:rFonts w:asciiTheme="majorHAnsi" w:hAnsiTheme="majorHAnsi" w:cstheme="majorHAnsi"/>
          <w:sz w:val="22"/>
          <w:szCs w:val="22"/>
          <w:lang w:val="fr-FR"/>
        </w:rPr>
        <w:t xml:space="preserve">Conformément à la structuration du questionnaire, les indicateurs calculés seront stratifiés selon les variables disponibles (genre, milieu, âge, etc.). </w:t>
      </w:r>
    </w:p>
    <w:p w14:paraId="5F1CCFB9" w14:textId="77777777" w:rsidR="00F544E6" w:rsidRPr="00F544E6" w:rsidRDefault="00F544E6" w:rsidP="00D83D48">
      <w:pPr>
        <w:spacing w:line="276" w:lineRule="auto"/>
        <w:jc w:val="both"/>
        <w:rPr>
          <w:rFonts w:asciiTheme="majorHAnsi" w:hAnsiTheme="majorHAnsi" w:cstheme="majorHAnsi"/>
          <w:sz w:val="22"/>
          <w:szCs w:val="22"/>
          <w:lang w:val="fr-FR"/>
        </w:rPr>
      </w:pPr>
    </w:p>
    <w:p w14:paraId="2A1C1855" w14:textId="77777777" w:rsidR="00D83D48" w:rsidRPr="00257D0C" w:rsidRDefault="00D83D48" w:rsidP="00D83D48">
      <w:pPr>
        <w:spacing w:line="276" w:lineRule="auto"/>
        <w:jc w:val="both"/>
        <w:rPr>
          <w:rFonts w:asciiTheme="majorHAnsi" w:eastAsiaTheme="majorEastAsia" w:hAnsiTheme="majorHAnsi" w:cstheme="majorHAnsi"/>
          <w:sz w:val="22"/>
          <w:szCs w:val="22"/>
          <w:lang w:val="fr-FR"/>
        </w:rPr>
      </w:pPr>
      <w:r w:rsidRPr="00257D0C">
        <w:rPr>
          <w:rFonts w:asciiTheme="majorHAnsi" w:eastAsiaTheme="majorEastAsia" w:hAnsiTheme="majorHAnsi" w:cstheme="majorHAnsi"/>
          <w:sz w:val="22"/>
          <w:szCs w:val="22"/>
          <w:lang w:val="fr-FR"/>
        </w:rPr>
        <w:t>Les principaux indicateurs retenus sont :</w:t>
      </w:r>
    </w:p>
    <w:p w14:paraId="12DE4308" w14:textId="54974A9B"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Taux de couverture d’enfant = nombre d’enfants traités au jour 1 / nombre total d’enfants identifiés</w:t>
      </w:r>
      <w:r w:rsidR="00F544E6" w:rsidRPr="00257D0C">
        <w:rPr>
          <w:rFonts w:asciiTheme="majorHAnsi" w:eastAsiaTheme="majorEastAsia" w:hAnsiTheme="majorHAnsi" w:cstheme="majorHAnsi"/>
          <w:color w:val="auto"/>
          <w:sz w:val="22"/>
          <w:szCs w:val="22"/>
        </w:rPr>
        <w:t> ;</w:t>
      </w:r>
    </w:p>
    <w:p w14:paraId="73BE4EB0" w14:textId="25BBD407"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Taux de couverture ménage = nombre de ménages avec au moins un enfant traité / nombre total de ménages identifiés</w:t>
      </w:r>
      <w:r w:rsidR="00F544E6" w:rsidRPr="00257D0C">
        <w:rPr>
          <w:rFonts w:asciiTheme="majorHAnsi" w:eastAsiaTheme="majorEastAsia" w:hAnsiTheme="majorHAnsi" w:cstheme="majorHAnsi"/>
          <w:color w:val="auto"/>
          <w:sz w:val="22"/>
          <w:szCs w:val="22"/>
        </w:rPr>
        <w:t> ;</w:t>
      </w:r>
    </w:p>
    <w:p w14:paraId="66DDAC66" w14:textId="763B4F6D"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 xml:space="preserve">Proportion d’enfant d’enfants éligibles ayant reçu les 3 jours de traitement = nombre d’enfants éligibles ayant reçu les traitements de jours 1, 2 et 3 / nombre total d’enfants éligibles </w:t>
      </w:r>
      <w:r w:rsidR="00C32371" w:rsidRPr="00257D0C">
        <w:rPr>
          <w:rFonts w:asciiTheme="majorHAnsi" w:eastAsiaTheme="majorEastAsia" w:hAnsiTheme="majorHAnsi" w:cstheme="majorHAnsi"/>
          <w:color w:val="auto"/>
          <w:sz w:val="22"/>
          <w:szCs w:val="22"/>
        </w:rPr>
        <w:t>ayant reçu</w:t>
      </w:r>
      <w:r w:rsidRPr="00257D0C">
        <w:rPr>
          <w:rFonts w:asciiTheme="majorHAnsi" w:eastAsiaTheme="majorEastAsia" w:hAnsiTheme="majorHAnsi" w:cstheme="majorHAnsi"/>
          <w:color w:val="auto"/>
          <w:sz w:val="22"/>
          <w:szCs w:val="22"/>
        </w:rPr>
        <w:t xml:space="preserve"> le traitement du jour 1 identifiés</w:t>
      </w:r>
      <w:r w:rsidR="00F544E6" w:rsidRPr="00257D0C">
        <w:rPr>
          <w:rFonts w:asciiTheme="majorHAnsi" w:eastAsiaTheme="majorEastAsia" w:hAnsiTheme="majorHAnsi" w:cstheme="majorHAnsi"/>
          <w:color w:val="auto"/>
          <w:sz w:val="22"/>
          <w:szCs w:val="22"/>
        </w:rPr>
        <w:t> ;</w:t>
      </w:r>
    </w:p>
    <w:p w14:paraId="612BA5A3" w14:textId="5ED3EC87"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d’enfants traités par la DOT</w:t>
      </w:r>
      <w:r w:rsidR="00F544E6" w:rsidRPr="00257D0C">
        <w:rPr>
          <w:rFonts w:asciiTheme="majorHAnsi" w:eastAsiaTheme="majorEastAsia" w:hAnsiTheme="majorHAnsi" w:cstheme="majorHAnsi"/>
          <w:color w:val="auto"/>
          <w:sz w:val="22"/>
          <w:szCs w:val="22"/>
        </w:rPr>
        <w:t> ;</w:t>
      </w:r>
    </w:p>
    <w:p w14:paraId="627E3D39" w14:textId="5F57C26A"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d’enfants éligibles possédant une carte CPS</w:t>
      </w:r>
      <w:r w:rsidR="00F544E6" w:rsidRPr="00257D0C">
        <w:rPr>
          <w:rFonts w:asciiTheme="majorHAnsi" w:eastAsiaTheme="majorEastAsia" w:hAnsiTheme="majorHAnsi" w:cstheme="majorHAnsi"/>
          <w:color w:val="auto"/>
          <w:sz w:val="22"/>
          <w:szCs w:val="22"/>
        </w:rPr>
        <w:t> ;</w:t>
      </w:r>
    </w:p>
    <w:p w14:paraId="1FFF99D6" w14:textId="200C150C"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 xml:space="preserve">Pourcentage d’enfants éligibles avec une carte contenant les 3 jours de traitement/ nombre total d’enfants éligibles </w:t>
      </w:r>
      <w:r w:rsidR="00C32371" w:rsidRPr="00257D0C">
        <w:rPr>
          <w:rFonts w:asciiTheme="majorHAnsi" w:eastAsiaTheme="majorEastAsia" w:hAnsiTheme="majorHAnsi" w:cstheme="majorHAnsi"/>
          <w:color w:val="auto"/>
          <w:sz w:val="22"/>
          <w:szCs w:val="22"/>
        </w:rPr>
        <w:t>ayant une carte identifiée</w:t>
      </w:r>
      <w:r w:rsidR="00F544E6" w:rsidRPr="00257D0C">
        <w:rPr>
          <w:rFonts w:asciiTheme="majorHAnsi" w:eastAsiaTheme="majorEastAsia" w:hAnsiTheme="majorHAnsi" w:cstheme="majorHAnsi"/>
          <w:color w:val="auto"/>
          <w:sz w:val="22"/>
          <w:szCs w:val="22"/>
        </w:rPr>
        <w:t> ;</w:t>
      </w:r>
    </w:p>
    <w:p w14:paraId="2BBD7053" w14:textId="597E9E6D"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des gardiennes acceptant la CPS = nombre d’enfants éligibles ayant reçu la CPS / nombre total d’enfants éligibles identifiés aléatoirement</w:t>
      </w:r>
      <w:r w:rsidR="00F544E6" w:rsidRPr="00257D0C">
        <w:rPr>
          <w:rFonts w:asciiTheme="majorHAnsi" w:eastAsiaTheme="majorEastAsia" w:hAnsiTheme="majorHAnsi" w:cstheme="majorHAnsi"/>
          <w:color w:val="auto"/>
          <w:sz w:val="22"/>
          <w:szCs w:val="22"/>
        </w:rPr>
        <w:t> ;</w:t>
      </w:r>
    </w:p>
    <w:p w14:paraId="1D8AE1DE" w14:textId="6C48A9C5"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Proportion des gardiennes d’enfants ayant entendu parler de la CPS</w:t>
      </w:r>
      <w:r w:rsidR="00F544E6" w:rsidRPr="00257D0C">
        <w:rPr>
          <w:rFonts w:asciiTheme="majorHAnsi" w:eastAsiaTheme="majorEastAsia" w:hAnsiTheme="majorHAnsi" w:cstheme="majorHAnsi"/>
          <w:color w:val="auto"/>
          <w:sz w:val="22"/>
          <w:szCs w:val="22"/>
        </w:rPr>
        <w:t> ;</w:t>
      </w:r>
    </w:p>
    <w:p w14:paraId="7407C096" w14:textId="069A4271"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des gardiennes ayant une bonne connaissance du but de la CPS</w:t>
      </w:r>
      <w:r w:rsidR="00F544E6" w:rsidRPr="00257D0C">
        <w:rPr>
          <w:rFonts w:asciiTheme="majorHAnsi" w:eastAsiaTheme="majorEastAsia" w:hAnsiTheme="majorHAnsi" w:cstheme="majorHAnsi"/>
          <w:color w:val="auto"/>
          <w:sz w:val="22"/>
          <w:szCs w:val="22"/>
        </w:rPr>
        <w:t> ;</w:t>
      </w:r>
    </w:p>
    <w:p w14:paraId="68742A82" w14:textId="2CAE82DC"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des gardiennes connaissant la tranche d’âge éligible à la CPS</w:t>
      </w:r>
      <w:r w:rsidR="00F544E6" w:rsidRPr="00257D0C">
        <w:rPr>
          <w:rFonts w:asciiTheme="majorHAnsi" w:eastAsiaTheme="majorEastAsia" w:hAnsiTheme="majorHAnsi" w:cstheme="majorHAnsi"/>
          <w:color w:val="auto"/>
          <w:sz w:val="22"/>
          <w:szCs w:val="22"/>
        </w:rPr>
        <w:t> ;</w:t>
      </w:r>
    </w:p>
    <w:p w14:paraId="4B8FAC58" w14:textId="2FDEB481"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des gardiennes connaissant l’importance de l’éligibilité d’âge d’enfant pour la CPS</w:t>
      </w:r>
      <w:r w:rsidR="00F544E6" w:rsidRPr="00257D0C">
        <w:rPr>
          <w:rFonts w:asciiTheme="majorHAnsi" w:eastAsiaTheme="majorEastAsia" w:hAnsiTheme="majorHAnsi" w:cstheme="majorHAnsi"/>
          <w:color w:val="auto"/>
          <w:sz w:val="22"/>
          <w:szCs w:val="22"/>
        </w:rPr>
        <w:t> ;</w:t>
      </w:r>
    </w:p>
    <w:p w14:paraId="61D3941E" w14:textId="7228E6EF"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des gardiennes connaissant l’importance de l’administration de traitement de jours 2 et 3</w:t>
      </w:r>
      <w:r w:rsidR="00A06912" w:rsidRPr="00257D0C">
        <w:rPr>
          <w:rFonts w:asciiTheme="majorHAnsi" w:eastAsiaTheme="majorEastAsia" w:hAnsiTheme="majorHAnsi" w:cstheme="majorHAnsi"/>
          <w:color w:val="auto"/>
          <w:sz w:val="22"/>
          <w:szCs w:val="22"/>
        </w:rPr>
        <w:t> ;</w:t>
      </w:r>
    </w:p>
    <w:p w14:paraId="0CE62F2C" w14:textId="29A8F6A2"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 gardiennes connaissant les effets secondaires</w:t>
      </w:r>
      <w:r w:rsidR="00A06912" w:rsidRPr="00257D0C">
        <w:rPr>
          <w:rFonts w:asciiTheme="majorHAnsi" w:eastAsiaTheme="majorEastAsia" w:hAnsiTheme="majorHAnsi" w:cstheme="majorHAnsi"/>
          <w:color w:val="auto"/>
          <w:sz w:val="22"/>
          <w:szCs w:val="22"/>
        </w:rPr>
        <w:t> ;</w:t>
      </w:r>
    </w:p>
    <w:p w14:paraId="75AC7084" w14:textId="746C6358"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des gardiennes reconnaissant l’efficacité de la CPS</w:t>
      </w:r>
      <w:r w:rsidR="00A06912" w:rsidRPr="00257D0C">
        <w:rPr>
          <w:rFonts w:asciiTheme="majorHAnsi" w:eastAsiaTheme="majorEastAsia" w:hAnsiTheme="majorHAnsi" w:cstheme="majorHAnsi"/>
          <w:color w:val="auto"/>
          <w:sz w:val="22"/>
          <w:szCs w:val="22"/>
        </w:rPr>
        <w:t> ;</w:t>
      </w:r>
    </w:p>
    <w:p w14:paraId="7365675E" w14:textId="22187276"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lastRenderedPageBreak/>
        <w:t>Pourcentage des gardiennes ayant déclaré que les agents de santé distributeurs portaient un masque</w:t>
      </w:r>
      <w:r w:rsidR="00A06912" w:rsidRPr="00257D0C">
        <w:rPr>
          <w:rFonts w:asciiTheme="majorHAnsi" w:eastAsiaTheme="majorEastAsia" w:hAnsiTheme="majorHAnsi" w:cstheme="majorHAnsi"/>
          <w:color w:val="auto"/>
          <w:sz w:val="22"/>
          <w:szCs w:val="22"/>
        </w:rPr>
        <w:t> ;</w:t>
      </w:r>
    </w:p>
    <w:p w14:paraId="143B8540" w14:textId="61D43589" w:rsidR="00D83D48" w:rsidRPr="00257D0C" w:rsidRDefault="00D83D48" w:rsidP="00D83D48">
      <w:pPr>
        <w:pStyle w:val="ListParagraph"/>
        <w:numPr>
          <w:ilvl w:val="0"/>
          <w:numId w:val="5"/>
        </w:numPr>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des gardiennes ayant déclaré avoir reçu d’information de prévention de COVID-19 des agents de santé communautaire</w:t>
      </w:r>
      <w:r w:rsidR="00A06912" w:rsidRPr="00257D0C">
        <w:rPr>
          <w:rFonts w:asciiTheme="majorHAnsi" w:eastAsiaTheme="majorEastAsia" w:hAnsiTheme="majorHAnsi" w:cstheme="majorHAnsi"/>
          <w:color w:val="auto"/>
          <w:sz w:val="22"/>
          <w:szCs w:val="22"/>
        </w:rPr>
        <w:t>.</w:t>
      </w:r>
    </w:p>
    <w:p w14:paraId="2759C6CB" w14:textId="77777777" w:rsidR="00D83D48" w:rsidRPr="003E279C" w:rsidRDefault="00D83D48" w:rsidP="00D83D48">
      <w:pPr>
        <w:spacing w:line="276" w:lineRule="auto"/>
        <w:jc w:val="both"/>
        <w:rPr>
          <w:rFonts w:asciiTheme="majorHAnsi" w:hAnsiTheme="majorHAnsi" w:cstheme="majorHAnsi"/>
          <w:b/>
          <w:sz w:val="24"/>
          <w:szCs w:val="24"/>
          <w:lang w:val="fr-FR"/>
        </w:rPr>
      </w:pPr>
      <w:r>
        <w:rPr>
          <w:rFonts w:asciiTheme="majorHAnsi" w:hAnsiTheme="majorHAnsi" w:cstheme="majorHAnsi"/>
          <w:b/>
          <w:sz w:val="24"/>
          <w:szCs w:val="24"/>
          <w:lang w:val="fr-FR"/>
        </w:rPr>
        <w:t>L</w:t>
      </w:r>
      <w:r w:rsidRPr="003E279C">
        <w:rPr>
          <w:rFonts w:asciiTheme="majorHAnsi" w:hAnsiTheme="majorHAnsi" w:cstheme="majorHAnsi"/>
          <w:b/>
          <w:sz w:val="24"/>
          <w:szCs w:val="24"/>
          <w:lang w:val="fr-FR"/>
        </w:rPr>
        <w:t xml:space="preserve">es indicateurs </w:t>
      </w:r>
      <w:r>
        <w:rPr>
          <w:rFonts w:asciiTheme="majorHAnsi" w:hAnsiTheme="majorHAnsi" w:cstheme="majorHAnsi"/>
          <w:b/>
          <w:sz w:val="24"/>
          <w:szCs w:val="24"/>
          <w:lang w:val="fr-FR"/>
        </w:rPr>
        <w:t xml:space="preserve">secondaires </w:t>
      </w:r>
      <w:r w:rsidRPr="003E279C">
        <w:rPr>
          <w:rFonts w:asciiTheme="majorHAnsi" w:hAnsiTheme="majorHAnsi" w:cstheme="majorHAnsi"/>
          <w:b/>
          <w:sz w:val="24"/>
          <w:szCs w:val="24"/>
          <w:lang w:val="fr-FR"/>
        </w:rPr>
        <w:t>retenus sont :</w:t>
      </w:r>
    </w:p>
    <w:p w14:paraId="72EA3862" w14:textId="77777777" w:rsidR="00257D0C" w:rsidRPr="00257D0C" w:rsidRDefault="00D83D48" w:rsidP="00A83741">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Principales raisons du non traitement des enfants 3-59 mois</w:t>
      </w:r>
    </w:p>
    <w:p w14:paraId="36564EEC" w14:textId="1E820ED9" w:rsidR="00257D0C" w:rsidRPr="00257D0C" w:rsidRDefault="00D83D48" w:rsidP="00A83741">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Principales catégories de refus de la CPS</w:t>
      </w:r>
    </w:p>
    <w:p w14:paraId="3D8CB86B" w14:textId="281E7D04" w:rsidR="00257D0C" w:rsidRPr="00257D0C" w:rsidRDefault="00D83D48" w:rsidP="00791CF6">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d’enfants ayant eu une réaction secondaire</w:t>
      </w:r>
    </w:p>
    <w:p w14:paraId="00B8AA2A" w14:textId="5A8BAB0C" w:rsidR="00257D0C" w:rsidRPr="00257D0C" w:rsidRDefault="00D83D48" w:rsidP="00F10289">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Principales réactions secondaires</w:t>
      </w:r>
    </w:p>
    <w:p w14:paraId="4B8A378F" w14:textId="4764C262" w:rsidR="00257D0C" w:rsidRPr="00257D0C" w:rsidRDefault="00D83D48" w:rsidP="004D036B">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Proportion de responsables d’enfants ayant communiqués les réactions secondaires au relais communautaire/ agent de santé</w:t>
      </w:r>
    </w:p>
    <w:p w14:paraId="7D96EDDE" w14:textId="10824244" w:rsidR="00257D0C" w:rsidRPr="00257D0C" w:rsidRDefault="00D83D48" w:rsidP="00572795">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Principales raisons de non traitement CPS au jour 1</w:t>
      </w:r>
    </w:p>
    <w:p w14:paraId="313DC9B2" w14:textId="223060ED" w:rsidR="00257D0C" w:rsidRPr="00257D0C" w:rsidRDefault="00D83D48" w:rsidP="00740914">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Principales raisons de non traitement CPS aux jours 2 et 3</w:t>
      </w:r>
    </w:p>
    <w:p w14:paraId="63FC6CA2" w14:textId="2A6F704E" w:rsidR="00257D0C" w:rsidRPr="00257D0C" w:rsidRDefault="00D83D48" w:rsidP="007A14BE">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Principales raisons de non possession de carte CPS</w:t>
      </w:r>
    </w:p>
    <w:p w14:paraId="5A64C0D6" w14:textId="65E063E2" w:rsidR="00257D0C" w:rsidRPr="00257D0C" w:rsidRDefault="00D83D48" w:rsidP="00A05289">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 ménage ayant refusé la CPS à cause de COVID-19</w:t>
      </w:r>
    </w:p>
    <w:p w14:paraId="0B5D35EF" w14:textId="6646BE3D" w:rsidR="00257D0C" w:rsidRPr="00257D0C" w:rsidRDefault="00D83D48" w:rsidP="00E3063F">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Proportion de gardiennes d’enfants conscientes de l’existence de COVID-19</w:t>
      </w:r>
    </w:p>
    <w:p w14:paraId="4911EFF3" w14:textId="11EAD03E" w:rsidR="00257D0C" w:rsidRPr="00257D0C" w:rsidRDefault="00D83D48" w:rsidP="00A635E0">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 concession bien marqué</w:t>
      </w:r>
    </w:p>
    <w:p w14:paraId="227C7A31" w14:textId="502F1851" w:rsidR="00257D0C" w:rsidRPr="00257D0C" w:rsidRDefault="00D83D48" w:rsidP="00B171D5">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 gardiennes d’enfants ayant entendu le message du crieur public sur la CPS dans le mois</w:t>
      </w:r>
    </w:p>
    <w:p w14:paraId="4E199974" w14:textId="1C685DCE" w:rsidR="00D83D48" w:rsidRPr="00257D0C" w:rsidRDefault="00D83D48" w:rsidP="00082E7B">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Principaux canaux d’information CPS</w:t>
      </w:r>
    </w:p>
    <w:p w14:paraId="4720E74F" w14:textId="77777777" w:rsidR="00D83D48" w:rsidRPr="00257D0C" w:rsidRDefault="00D83D48" w:rsidP="00A06912">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Prévalence de fièvre</w:t>
      </w:r>
    </w:p>
    <w:p w14:paraId="54569851" w14:textId="77777777" w:rsidR="00D83D48" w:rsidRPr="00257D0C" w:rsidRDefault="00D83D48" w:rsidP="00A06912">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Taux de fréquentation centre de santé</w:t>
      </w:r>
    </w:p>
    <w:p w14:paraId="191E345E" w14:textId="77777777" w:rsidR="00D83D48" w:rsidRPr="00257D0C" w:rsidRDefault="00D83D48" w:rsidP="00A06912">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Prévalence du paludisme</w:t>
      </w:r>
    </w:p>
    <w:p w14:paraId="36CBC4EE" w14:textId="77777777" w:rsidR="00D83D48" w:rsidRPr="00257D0C" w:rsidRDefault="00D83D48" w:rsidP="00A06912">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Proportion de possession moustiquaire</w:t>
      </w:r>
    </w:p>
    <w:p w14:paraId="3F67CF17" w14:textId="77777777" w:rsidR="00257D0C" w:rsidRPr="00257D0C" w:rsidRDefault="00D83D48" w:rsidP="00257D0C">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Taux d’utilisation de moustiquaire (pourcentage d’enfant ayant passé la nuit dernière dans la moustiquaire)</w:t>
      </w:r>
    </w:p>
    <w:p w14:paraId="60F0F67F" w14:textId="77777777" w:rsidR="00257D0C" w:rsidRPr="00257D0C" w:rsidRDefault="00D83D48" w:rsidP="00257D0C">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Taux de pulvérisation intra-domiciliaire</w:t>
      </w:r>
    </w:p>
    <w:p w14:paraId="166EC787" w14:textId="77777777" w:rsidR="00257D0C" w:rsidRPr="00257D0C" w:rsidRDefault="00D83D48" w:rsidP="00257D0C">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 relais communautaire connu de la communauté</w:t>
      </w:r>
    </w:p>
    <w:p w14:paraId="78298956" w14:textId="77777777" w:rsidR="00257D0C" w:rsidRPr="00257D0C" w:rsidRDefault="00D83D48" w:rsidP="00257D0C">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Pourcentage d’enfants hors tranche d’âge éligible traités au sein de concession avec enfants éligibles</w:t>
      </w:r>
    </w:p>
    <w:p w14:paraId="42687A08" w14:textId="6C86A751" w:rsidR="00D83D48" w:rsidRPr="00257D0C" w:rsidRDefault="00D83D48" w:rsidP="00257D0C">
      <w:pPr>
        <w:pStyle w:val="ListParagraph"/>
        <w:numPr>
          <w:ilvl w:val="0"/>
          <w:numId w:val="7"/>
        </w:numPr>
        <w:spacing w:before="100" w:beforeAutospacing="1" w:after="100" w:afterAutospacing="1"/>
        <w:ind w:left="360"/>
        <w:rPr>
          <w:rFonts w:asciiTheme="majorHAnsi" w:eastAsiaTheme="majorEastAsia" w:hAnsiTheme="majorHAnsi" w:cstheme="majorHAnsi"/>
          <w:color w:val="auto"/>
          <w:sz w:val="22"/>
          <w:szCs w:val="22"/>
        </w:rPr>
      </w:pPr>
      <w:r w:rsidRPr="00257D0C">
        <w:rPr>
          <w:rFonts w:asciiTheme="majorHAnsi" w:eastAsiaTheme="majorEastAsia" w:hAnsiTheme="majorHAnsi" w:cstheme="majorHAnsi"/>
          <w:color w:val="auto"/>
          <w:sz w:val="22"/>
          <w:szCs w:val="22"/>
        </w:rPr>
        <w:t xml:space="preserve">Taux de rétention de plaquettes </w:t>
      </w:r>
    </w:p>
    <w:p w14:paraId="3D1E6CE8" w14:textId="77777777" w:rsidR="00D83D48" w:rsidRPr="00F544E6" w:rsidRDefault="00D83D48" w:rsidP="00F544E6">
      <w:pPr>
        <w:keepNext/>
        <w:keepLines/>
        <w:widowControl/>
        <w:spacing w:before="100" w:beforeAutospacing="1" w:after="100" w:afterAutospacing="1" w:line="276" w:lineRule="auto"/>
        <w:jc w:val="both"/>
        <w:outlineLvl w:val="0"/>
        <w:rPr>
          <w:rFonts w:asciiTheme="majorHAnsi" w:eastAsiaTheme="majorEastAsia" w:hAnsiTheme="majorHAnsi" w:cstheme="majorHAnsi"/>
          <w:color w:val="2F5496" w:themeColor="accent1" w:themeShade="BF"/>
          <w:sz w:val="22"/>
          <w:szCs w:val="22"/>
          <w:lang w:val="fr-FR"/>
        </w:rPr>
      </w:pPr>
      <w:r w:rsidRPr="00F544E6">
        <w:rPr>
          <w:rFonts w:asciiTheme="majorHAnsi" w:eastAsiaTheme="majorEastAsia" w:hAnsiTheme="majorHAnsi" w:cstheme="majorHAnsi"/>
          <w:color w:val="2F5496" w:themeColor="accent1" w:themeShade="BF"/>
          <w:sz w:val="22"/>
          <w:szCs w:val="22"/>
          <w:lang w:val="fr-FR"/>
        </w:rPr>
        <w:t>Indicateurs du rapport intermédiaire servant à informer les CS et DS</w:t>
      </w:r>
    </w:p>
    <w:p w14:paraId="5344DE9D" w14:textId="77777777" w:rsidR="00D83D48" w:rsidRPr="00F544E6" w:rsidRDefault="00D83D48" w:rsidP="00F544E6">
      <w:pPr>
        <w:keepNext/>
        <w:keepLines/>
        <w:widowControl/>
        <w:spacing w:before="100" w:beforeAutospacing="1" w:after="100" w:afterAutospacing="1" w:line="276" w:lineRule="auto"/>
        <w:jc w:val="both"/>
        <w:outlineLvl w:val="0"/>
        <w:rPr>
          <w:rFonts w:asciiTheme="majorHAnsi" w:eastAsiaTheme="majorEastAsia" w:hAnsiTheme="majorHAnsi" w:cstheme="majorHAnsi"/>
          <w:sz w:val="22"/>
          <w:szCs w:val="22"/>
          <w:lang w:val="fr-FR"/>
        </w:rPr>
      </w:pPr>
      <w:r w:rsidRPr="00F544E6">
        <w:rPr>
          <w:rFonts w:asciiTheme="majorHAnsi" w:eastAsiaTheme="majorEastAsia" w:hAnsiTheme="majorHAnsi" w:cstheme="majorHAnsi"/>
          <w:sz w:val="22"/>
          <w:szCs w:val="22"/>
          <w:lang w:val="fr-FR"/>
        </w:rPr>
        <w:t>Cette série d’indicateurs doit être fournie dans les 10 jours calendaires de la réalisation de l’enquête avant le rapport final. Ce délai doit être respecté afin d’informer à temps l’équipe du management de Malaria Consortium sur les zones ou performance du programme faible. Pour cela, le rapport doit comporter un tableau indiquant uniquement les zones de supervision (ainsi que les zones de responsabilité constituant la zone de supervision) défaillant pour chaque indicateur du tableau ci-dessous. On entend par zone de supervision défaillant une zone n’ayant pas atteint le seuil de décision sur les 25 concessions visitées pendant l’enquête.</w:t>
      </w:r>
    </w:p>
    <w:p w14:paraId="141D212D" w14:textId="77777777" w:rsidR="00D83D48" w:rsidRPr="003E279C" w:rsidRDefault="00D83D48" w:rsidP="00D83D48">
      <w:pPr>
        <w:widowControl/>
        <w:spacing w:before="240" w:after="160" w:line="276" w:lineRule="auto"/>
        <w:jc w:val="both"/>
        <w:rPr>
          <w:rFonts w:asciiTheme="majorHAnsi" w:eastAsiaTheme="minorHAnsi" w:hAnsiTheme="majorHAnsi" w:cstheme="majorHAnsi"/>
          <w:sz w:val="24"/>
          <w:szCs w:val="24"/>
          <w:lang w:val="fr-FR"/>
        </w:rPr>
      </w:pPr>
      <w:r w:rsidRPr="003E279C">
        <w:rPr>
          <w:rFonts w:asciiTheme="majorHAnsi" w:eastAsiaTheme="minorHAnsi" w:hAnsiTheme="majorHAnsi" w:cstheme="majorHAnsi"/>
          <w:sz w:val="24"/>
          <w:szCs w:val="24"/>
          <w:lang w:val="fr-FR"/>
        </w:rPr>
        <w:t>Les indicateurs suivants doivent être produits systématiquement après les enquêtes de fin de cycle (LQAS) et partager avec les districts en vue d’améliorer les cycles suivants :</w:t>
      </w:r>
    </w:p>
    <w:tbl>
      <w:tblPr>
        <w:tblW w:w="10349" w:type="dxa"/>
        <w:tblInd w:w="-289" w:type="dxa"/>
        <w:tblLook w:val="04A0" w:firstRow="1" w:lastRow="0" w:firstColumn="1" w:lastColumn="0" w:noHBand="0" w:noVBand="1"/>
      </w:tblPr>
      <w:tblGrid>
        <w:gridCol w:w="5529"/>
        <w:gridCol w:w="1615"/>
        <w:gridCol w:w="2260"/>
        <w:gridCol w:w="945"/>
      </w:tblGrid>
      <w:tr w:rsidR="00D83D48" w:rsidRPr="00DE06E5" w14:paraId="1DBD8E8B" w14:textId="77777777" w:rsidTr="00257D0C">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E83A7" w14:textId="367A1BCE" w:rsidR="00D83D48" w:rsidRPr="00DE06E5" w:rsidRDefault="00D83D48" w:rsidP="00257D0C">
            <w:pPr>
              <w:widowControl/>
              <w:jc w:val="center"/>
              <w:rPr>
                <w:rFonts w:ascii="Calibri Light" w:hAnsi="Calibri Light" w:cs="Calibri Light"/>
                <w:b/>
                <w:color w:val="000000"/>
                <w:sz w:val="22"/>
                <w:szCs w:val="22"/>
                <w:lang w:val="en-GB" w:eastAsia="en-GB"/>
              </w:rPr>
            </w:pPr>
            <w:proofErr w:type="spellStart"/>
            <w:r w:rsidRPr="00DE06E5">
              <w:rPr>
                <w:rFonts w:ascii="Calibri Light" w:hAnsi="Calibri Light" w:cs="Calibri Light"/>
                <w:b/>
                <w:color w:val="000000"/>
                <w:sz w:val="22"/>
                <w:szCs w:val="22"/>
                <w:lang w:val="en-GB" w:eastAsia="en-GB"/>
              </w:rPr>
              <w:lastRenderedPageBreak/>
              <w:t>Indicateur</w:t>
            </w:r>
            <w:r w:rsidR="00DB4142">
              <w:rPr>
                <w:rFonts w:ascii="Calibri Light" w:hAnsi="Calibri Light" w:cs="Calibri Light"/>
                <w:b/>
                <w:color w:val="000000"/>
                <w:sz w:val="22"/>
                <w:szCs w:val="22"/>
                <w:lang w:val="en-GB" w:eastAsia="en-GB"/>
              </w:rPr>
              <w:t>s</w:t>
            </w:r>
            <w:proofErr w:type="spellEnd"/>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14:paraId="425D825F" w14:textId="77777777" w:rsidR="00D83D48" w:rsidRPr="00DE06E5" w:rsidRDefault="00D83D48" w:rsidP="00257D0C">
            <w:pPr>
              <w:widowControl/>
              <w:jc w:val="center"/>
              <w:rPr>
                <w:rFonts w:ascii="Calibri Light" w:hAnsi="Calibri Light" w:cs="Calibri Light"/>
                <w:b/>
                <w:color w:val="000000"/>
                <w:sz w:val="22"/>
                <w:szCs w:val="22"/>
                <w:lang w:val="en-GB" w:eastAsia="en-GB"/>
              </w:rPr>
            </w:pPr>
            <w:proofErr w:type="spellStart"/>
            <w:r w:rsidRPr="00DE06E5">
              <w:rPr>
                <w:rFonts w:ascii="Calibri Light" w:hAnsi="Calibri Light" w:cs="Calibri Light"/>
                <w:b/>
                <w:color w:val="000000"/>
                <w:sz w:val="22"/>
                <w:szCs w:val="22"/>
                <w:lang w:val="en-GB" w:eastAsia="en-GB"/>
              </w:rPr>
              <w:t>Unité</w:t>
            </w:r>
            <w:proofErr w:type="spellEnd"/>
            <w:r w:rsidRPr="00DE06E5">
              <w:rPr>
                <w:rFonts w:ascii="Calibri Light" w:hAnsi="Calibri Light" w:cs="Calibri Light"/>
                <w:b/>
                <w:color w:val="000000"/>
                <w:sz w:val="22"/>
                <w:szCs w:val="22"/>
                <w:lang w:val="en-GB" w:eastAsia="en-GB"/>
              </w:rPr>
              <w:t xml:space="preserve"> </w:t>
            </w:r>
            <w:proofErr w:type="spellStart"/>
            <w:r w:rsidRPr="00DE06E5">
              <w:rPr>
                <w:rFonts w:ascii="Calibri Light" w:hAnsi="Calibri Light" w:cs="Calibri Light"/>
                <w:b/>
                <w:color w:val="000000"/>
                <w:sz w:val="22"/>
                <w:szCs w:val="22"/>
                <w:lang w:val="en-GB" w:eastAsia="en-GB"/>
              </w:rPr>
              <w:t>d'analyse</w:t>
            </w:r>
            <w:proofErr w:type="spellEnd"/>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185F5526" w14:textId="77777777" w:rsidR="00D83D48" w:rsidRPr="00DE06E5" w:rsidRDefault="00D83D48" w:rsidP="00257D0C">
            <w:pPr>
              <w:widowControl/>
              <w:jc w:val="center"/>
              <w:rPr>
                <w:rFonts w:ascii="Calibri Light" w:hAnsi="Calibri Light" w:cs="Calibri Light"/>
                <w:b/>
                <w:color w:val="000000"/>
                <w:sz w:val="22"/>
                <w:szCs w:val="22"/>
                <w:lang w:val="en-GB" w:eastAsia="en-GB"/>
              </w:rPr>
            </w:pPr>
            <w:proofErr w:type="spellStart"/>
            <w:r w:rsidRPr="00DE06E5">
              <w:rPr>
                <w:rFonts w:ascii="Calibri Light" w:hAnsi="Calibri Light" w:cs="Calibri Light"/>
                <w:b/>
                <w:color w:val="000000"/>
                <w:sz w:val="22"/>
                <w:szCs w:val="22"/>
                <w:lang w:val="en-GB" w:eastAsia="en-GB"/>
              </w:rPr>
              <w:t>Dénominateur</w:t>
            </w:r>
            <w:proofErr w:type="spellEnd"/>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1C525618" w14:textId="77777777" w:rsidR="00D83D48" w:rsidRPr="00DE06E5" w:rsidRDefault="00D83D48" w:rsidP="00257D0C">
            <w:pPr>
              <w:widowControl/>
              <w:jc w:val="center"/>
              <w:rPr>
                <w:rFonts w:ascii="Calibri Light" w:hAnsi="Calibri Light" w:cs="Calibri Light"/>
                <w:b/>
                <w:color w:val="000000"/>
                <w:sz w:val="22"/>
                <w:szCs w:val="22"/>
                <w:lang w:val="en-GB" w:eastAsia="en-GB"/>
              </w:rPr>
            </w:pPr>
            <w:proofErr w:type="spellStart"/>
            <w:r w:rsidRPr="00DE06E5">
              <w:rPr>
                <w:rFonts w:ascii="Calibri Light" w:hAnsi="Calibri Light" w:cs="Calibri Light"/>
                <w:b/>
                <w:color w:val="000000"/>
                <w:sz w:val="22"/>
                <w:szCs w:val="22"/>
                <w:lang w:val="en-GB" w:eastAsia="en-GB"/>
              </w:rPr>
              <w:t>Seuil</w:t>
            </w:r>
            <w:proofErr w:type="spellEnd"/>
            <w:r w:rsidRPr="00DE06E5">
              <w:rPr>
                <w:rFonts w:ascii="Calibri Light" w:hAnsi="Calibri Light" w:cs="Calibri Light"/>
                <w:b/>
                <w:color w:val="000000"/>
                <w:sz w:val="22"/>
                <w:szCs w:val="22"/>
                <w:lang w:val="en-GB" w:eastAsia="en-GB"/>
              </w:rPr>
              <w:t xml:space="preserve"> de </w:t>
            </w:r>
            <w:proofErr w:type="spellStart"/>
            <w:r w:rsidRPr="00DE06E5">
              <w:rPr>
                <w:rFonts w:ascii="Calibri Light" w:hAnsi="Calibri Light" w:cs="Calibri Light"/>
                <w:b/>
                <w:color w:val="000000"/>
                <w:sz w:val="22"/>
                <w:szCs w:val="22"/>
                <w:lang w:val="en-GB" w:eastAsia="en-GB"/>
              </w:rPr>
              <w:t>décision</w:t>
            </w:r>
            <w:proofErr w:type="spellEnd"/>
          </w:p>
        </w:tc>
      </w:tr>
      <w:tr w:rsidR="00D83D48" w:rsidRPr="00DE06E5" w14:paraId="1E78C5F2" w14:textId="77777777" w:rsidTr="00257D0C">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122A57"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Taux de couverture d’enfant = nombre d’enfants traités au jour 1 / nombre total d’enfants identifiés</w:t>
            </w:r>
          </w:p>
        </w:tc>
        <w:tc>
          <w:tcPr>
            <w:tcW w:w="1615" w:type="dxa"/>
            <w:tcBorders>
              <w:top w:val="nil"/>
              <w:left w:val="nil"/>
              <w:bottom w:val="single" w:sz="4" w:space="0" w:color="auto"/>
              <w:right w:val="single" w:sz="4" w:space="0" w:color="auto"/>
            </w:tcBorders>
            <w:shd w:val="clear" w:color="auto" w:fill="auto"/>
            <w:noWrap/>
            <w:vAlign w:val="center"/>
            <w:hideMark/>
          </w:tcPr>
          <w:p w14:paraId="2FEEF5C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7D582A55"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3A5D0AEC"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6F46DC9B" w14:textId="77777777" w:rsidTr="00257D0C">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A4E8FF6"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Taux de couverture ménage = nombre de ménages avec au moins un enfant traité / nombre total de ménages identifiés</w:t>
            </w:r>
          </w:p>
        </w:tc>
        <w:tc>
          <w:tcPr>
            <w:tcW w:w="1615" w:type="dxa"/>
            <w:tcBorders>
              <w:top w:val="nil"/>
              <w:left w:val="nil"/>
              <w:bottom w:val="single" w:sz="4" w:space="0" w:color="auto"/>
              <w:right w:val="single" w:sz="4" w:space="0" w:color="auto"/>
            </w:tcBorders>
            <w:shd w:val="clear" w:color="auto" w:fill="auto"/>
            <w:noWrap/>
            <w:vAlign w:val="center"/>
            <w:hideMark/>
          </w:tcPr>
          <w:p w14:paraId="52F588F0"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Menage</w:t>
            </w:r>
          </w:p>
        </w:tc>
        <w:tc>
          <w:tcPr>
            <w:tcW w:w="2260" w:type="dxa"/>
            <w:tcBorders>
              <w:top w:val="nil"/>
              <w:left w:val="nil"/>
              <w:bottom w:val="single" w:sz="4" w:space="0" w:color="auto"/>
              <w:right w:val="single" w:sz="4" w:space="0" w:color="auto"/>
            </w:tcBorders>
            <w:shd w:val="clear" w:color="auto" w:fill="auto"/>
            <w:noWrap/>
            <w:vAlign w:val="center"/>
            <w:hideMark/>
          </w:tcPr>
          <w:p w14:paraId="30933E59"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1BCBAA09"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3BC249B9" w14:textId="77777777" w:rsidTr="00257D0C">
        <w:trPr>
          <w:trHeight w:val="86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8A0F23"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Proportion d’enfant d’enfants éligibles ayant reçu les 3 jours de traitement = nombre d’enfants éligibles ayant reçu les traitements de jours 1, 2 et 3 / nombre total d’enfants éligibles ayant  reçu le traitement du jour 1 identifiés</w:t>
            </w:r>
          </w:p>
        </w:tc>
        <w:tc>
          <w:tcPr>
            <w:tcW w:w="1615" w:type="dxa"/>
            <w:tcBorders>
              <w:top w:val="nil"/>
              <w:left w:val="nil"/>
              <w:bottom w:val="single" w:sz="4" w:space="0" w:color="auto"/>
              <w:right w:val="single" w:sz="4" w:space="0" w:color="auto"/>
            </w:tcBorders>
            <w:shd w:val="clear" w:color="auto" w:fill="auto"/>
            <w:noWrap/>
            <w:vAlign w:val="center"/>
            <w:hideMark/>
          </w:tcPr>
          <w:p w14:paraId="277369B0"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11AA52B7"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Enfant éligible atteint (Traitement jour 1)</w:t>
            </w:r>
          </w:p>
        </w:tc>
        <w:tc>
          <w:tcPr>
            <w:tcW w:w="945" w:type="dxa"/>
            <w:tcBorders>
              <w:top w:val="nil"/>
              <w:left w:val="nil"/>
              <w:bottom w:val="single" w:sz="4" w:space="0" w:color="auto"/>
              <w:right w:val="single" w:sz="4" w:space="0" w:color="auto"/>
            </w:tcBorders>
            <w:shd w:val="clear" w:color="auto" w:fill="auto"/>
            <w:noWrap/>
            <w:vAlign w:val="center"/>
            <w:hideMark/>
          </w:tcPr>
          <w:p w14:paraId="4E33FEC9"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22</w:t>
            </w:r>
          </w:p>
        </w:tc>
      </w:tr>
      <w:tr w:rsidR="00D83D48" w:rsidRPr="00DE06E5" w14:paraId="6DCD9C1C" w14:textId="77777777" w:rsidTr="00257D0C">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7931CD8"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d’enfants traités par la DOT</w:t>
            </w:r>
          </w:p>
        </w:tc>
        <w:tc>
          <w:tcPr>
            <w:tcW w:w="1615" w:type="dxa"/>
            <w:tcBorders>
              <w:top w:val="nil"/>
              <w:left w:val="nil"/>
              <w:bottom w:val="single" w:sz="4" w:space="0" w:color="auto"/>
              <w:right w:val="single" w:sz="4" w:space="0" w:color="auto"/>
            </w:tcBorders>
            <w:shd w:val="clear" w:color="auto" w:fill="auto"/>
            <w:noWrap/>
            <w:vAlign w:val="center"/>
            <w:hideMark/>
          </w:tcPr>
          <w:p w14:paraId="51C64DC1"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3FA1C34C"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Enfant éligible atteint (Traitement jour 1)</w:t>
            </w:r>
          </w:p>
        </w:tc>
        <w:tc>
          <w:tcPr>
            <w:tcW w:w="945" w:type="dxa"/>
            <w:tcBorders>
              <w:top w:val="nil"/>
              <w:left w:val="nil"/>
              <w:bottom w:val="single" w:sz="4" w:space="0" w:color="auto"/>
              <w:right w:val="single" w:sz="4" w:space="0" w:color="auto"/>
            </w:tcBorders>
            <w:shd w:val="clear" w:color="auto" w:fill="auto"/>
            <w:noWrap/>
            <w:vAlign w:val="center"/>
            <w:hideMark/>
          </w:tcPr>
          <w:p w14:paraId="3BCE20D0"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22</w:t>
            </w:r>
          </w:p>
        </w:tc>
      </w:tr>
      <w:tr w:rsidR="00D83D48" w:rsidRPr="00DE06E5" w14:paraId="1247F15F" w14:textId="77777777" w:rsidTr="00257D0C">
        <w:trPr>
          <w:trHeight w:val="69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3EAC221"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d’enfants éligibles possédant une carte CPS</w:t>
            </w:r>
          </w:p>
        </w:tc>
        <w:tc>
          <w:tcPr>
            <w:tcW w:w="1615" w:type="dxa"/>
            <w:tcBorders>
              <w:top w:val="nil"/>
              <w:left w:val="nil"/>
              <w:bottom w:val="single" w:sz="4" w:space="0" w:color="auto"/>
              <w:right w:val="single" w:sz="4" w:space="0" w:color="auto"/>
            </w:tcBorders>
            <w:shd w:val="clear" w:color="auto" w:fill="auto"/>
            <w:noWrap/>
            <w:vAlign w:val="center"/>
            <w:hideMark/>
          </w:tcPr>
          <w:p w14:paraId="60262B73"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335DD536"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Enfant éligible atteint (Traitement jour 1)</w:t>
            </w:r>
          </w:p>
        </w:tc>
        <w:tc>
          <w:tcPr>
            <w:tcW w:w="945" w:type="dxa"/>
            <w:tcBorders>
              <w:top w:val="nil"/>
              <w:left w:val="nil"/>
              <w:bottom w:val="single" w:sz="4" w:space="0" w:color="auto"/>
              <w:right w:val="single" w:sz="4" w:space="0" w:color="auto"/>
            </w:tcBorders>
            <w:shd w:val="clear" w:color="auto" w:fill="auto"/>
            <w:noWrap/>
            <w:vAlign w:val="center"/>
            <w:hideMark/>
          </w:tcPr>
          <w:p w14:paraId="31C94AD1"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008C69B4" w14:textId="77777777" w:rsidTr="00257D0C">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037AE3"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d’enfants éligibles avec une carte contenant les 3 jours de traitement/ nombre total d’enfants éligibles ayant  une carte identifiés</w:t>
            </w:r>
          </w:p>
        </w:tc>
        <w:tc>
          <w:tcPr>
            <w:tcW w:w="1615" w:type="dxa"/>
            <w:tcBorders>
              <w:top w:val="nil"/>
              <w:left w:val="nil"/>
              <w:bottom w:val="single" w:sz="4" w:space="0" w:color="auto"/>
              <w:right w:val="single" w:sz="4" w:space="0" w:color="auto"/>
            </w:tcBorders>
            <w:shd w:val="clear" w:color="auto" w:fill="auto"/>
            <w:noWrap/>
            <w:vAlign w:val="center"/>
            <w:hideMark/>
          </w:tcPr>
          <w:p w14:paraId="398E4B34"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22E7E3BB"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Enfant éligible atteint (Traitement jour 1)</w:t>
            </w:r>
          </w:p>
        </w:tc>
        <w:tc>
          <w:tcPr>
            <w:tcW w:w="945" w:type="dxa"/>
            <w:tcBorders>
              <w:top w:val="nil"/>
              <w:left w:val="nil"/>
              <w:bottom w:val="single" w:sz="4" w:space="0" w:color="auto"/>
              <w:right w:val="single" w:sz="4" w:space="0" w:color="auto"/>
            </w:tcBorders>
            <w:shd w:val="clear" w:color="auto" w:fill="auto"/>
            <w:noWrap/>
            <w:vAlign w:val="center"/>
            <w:hideMark/>
          </w:tcPr>
          <w:p w14:paraId="35184E9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35F39F07" w14:textId="77777777" w:rsidTr="00257D0C">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5BFC641"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acceptant la CPS = nombre d’enfants éligibles ayant reçu la CPS / nombre total d’enfants éligibles identifiés aléatoirement</w:t>
            </w:r>
          </w:p>
        </w:tc>
        <w:tc>
          <w:tcPr>
            <w:tcW w:w="1615" w:type="dxa"/>
            <w:tcBorders>
              <w:top w:val="nil"/>
              <w:left w:val="nil"/>
              <w:bottom w:val="single" w:sz="4" w:space="0" w:color="auto"/>
              <w:right w:val="single" w:sz="4" w:space="0" w:color="auto"/>
            </w:tcBorders>
            <w:shd w:val="clear" w:color="auto" w:fill="auto"/>
            <w:noWrap/>
            <w:vAlign w:val="center"/>
            <w:hideMark/>
          </w:tcPr>
          <w:p w14:paraId="4925775E"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Enfant</w:t>
            </w:r>
          </w:p>
        </w:tc>
        <w:tc>
          <w:tcPr>
            <w:tcW w:w="2260" w:type="dxa"/>
            <w:tcBorders>
              <w:top w:val="nil"/>
              <w:left w:val="nil"/>
              <w:bottom w:val="single" w:sz="4" w:space="0" w:color="auto"/>
              <w:right w:val="single" w:sz="4" w:space="0" w:color="auto"/>
            </w:tcBorders>
            <w:shd w:val="clear" w:color="auto" w:fill="auto"/>
            <w:noWrap/>
            <w:vAlign w:val="center"/>
            <w:hideMark/>
          </w:tcPr>
          <w:p w14:paraId="3D6128A1"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Concession atteinte (sélection aléatoire d'un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5360719E"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25</w:t>
            </w:r>
          </w:p>
        </w:tc>
      </w:tr>
      <w:tr w:rsidR="00D83D48" w:rsidRPr="00DE06E5" w14:paraId="28B4A002" w14:textId="77777777" w:rsidTr="00257D0C">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E28A735"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Proportion des gardiennes d’enfants ayant entendu parler de la CPS</w:t>
            </w:r>
          </w:p>
        </w:tc>
        <w:tc>
          <w:tcPr>
            <w:tcW w:w="1615" w:type="dxa"/>
            <w:tcBorders>
              <w:top w:val="nil"/>
              <w:left w:val="nil"/>
              <w:bottom w:val="single" w:sz="4" w:space="0" w:color="auto"/>
              <w:right w:val="single" w:sz="4" w:space="0" w:color="auto"/>
            </w:tcBorders>
            <w:shd w:val="clear" w:color="auto" w:fill="auto"/>
            <w:noWrap/>
            <w:vAlign w:val="center"/>
            <w:hideMark/>
          </w:tcPr>
          <w:p w14:paraId="58A38A06"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14F2E5FE"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456E04A2"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5F5B0FBE" w14:textId="77777777" w:rsidTr="00257D0C">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46B2872"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ayant une bonne connaissance du but de la CPS</w:t>
            </w:r>
          </w:p>
        </w:tc>
        <w:tc>
          <w:tcPr>
            <w:tcW w:w="1615" w:type="dxa"/>
            <w:tcBorders>
              <w:top w:val="nil"/>
              <w:left w:val="nil"/>
              <w:bottom w:val="single" w:sz="4" w:space="0" w:color="auto"/>
              <w:right w:val="single" w:sz="4" w:space="0" w:color="auto"/>
            </w:tcBorders>
            <w:shd w:val="clear" w:color="auto" w:fill="auto"/>
            <w:noWrap/>
            <w:vAlign w:val="center"/>
            <w:hideMark/>
          </w:tcPr>
          <w:p w14:paraId="0DFB6E57"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01C4B9AE"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7313F2E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5A1C10A4" w14:textId="77777777" w:rsidTr="00257D0C">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377CBDB"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connaissant la tranche d’âge éligible à la CPS</w:t>
            </w:r>
          </w:p>
        </w:tc>
        <w:tc>
          <w:tcPr>
            <w:tcW w:w="1615" w:type="dxa"/>
            <w:tcBorders>
              <w:top w:val="nil"/>
              <w:left w:val="nil"/>
              <w:bottom w:val="single" w:sz="4" w:space="0" w:color="auto"/>
              <w:right w:val="single" w:sz="4" w:space="0" w:color="auto"/>
            </w:tcBorders>
            <w:shd w:val="clear" w:color="auto" w:fill="auto"/>
            <w:noWrap/>
            <w:vAlign w:val="center"/>
            <w:hideMark/>
          </w:tcPr>
          <w:p w14:paraId="65D4769C"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22D727A6"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3318D124"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21</w:t>
            </w:r>
          </w:p>
        </w:tc>
      </w:tr>
      <w:tr w:rsidR="00D83D48" w:rsidRPr="00DE06E5" w14:paraId="107967CA" w14:textId="77777777" w:rsidTr="00257D0C">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B7571F"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connaissant l’importance de l’éligibilité d’âge d’enfant pour la CPS</w:t>
            </w:r>
          </w:p>
        </w:tc>
        <w:tc>
          <w:tcPr>
            <w:tcW w:w="1615" w:type="dxa"/>
            <w:tcBorders>
              <w:top w:val="nil"/>
              <w:left w:val="nil"/>
              <w:bottom w:val="single" w:sz="4" w:space="0" w:color="auto"/>
              <w:right w:val="single" w:sz="4" w:space="0" w:color="auto"/>
            </w:tcBorders>
            <w:shd w:val="clear" w:color="auto" w:fill="auto"/>
            <w:noWrap/>
            <w:vAlign w:val="center"/>
            <w:hideMark/>
          </w:tcPr>
          <w:p w14:paraId="7195F72E"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2138A563"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152D9352"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21</w:t>
            </w:r>
          </w:p>
        </w:tc>
      </w:tr>
      <w:tr w:rsidR="00D83D48" w:rsidRPr="00DE06E5" w14:paraId="785E00B5" w14:textId="77777777" w:rsidTr="00257D0C">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8F704D"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connaissant l’importance de l’administration de traitement de jours 2 et 3</w:t>
            </w:r>
          </w:p>
        </w:tc>
        <w:tc>
          <w:tcPr>
            <w:tcW w:w="1615" w:type="dxa"/>
            <w:tcBorders>
              <w:top w:val="nil"/>
              <w:left w:val="nil"/>
              <w:bottom w:val="single" w:sz="4" w:space="0" w:color="auto"/>
              <w:right w:val="single" w:sz="4" w:space="0" w:color="auto"/>
            </w:tcBorders>
            <w:shd w:val="clear" w:color="auto" w:fill="auto"/>
            <w:noWrap/>
            <w:vAlign w:val="center"/>
            <w:hideMark/>
          </w:tcPr>
          <w:p w14:paraId="45D3EB20"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6DF00A75"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2CCE108F"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21</w:t>
            </w:r>
          </w:p>
        </w:tc>
      </w:tr>
      <w:tr w:rsidR="00D83D48" w:rsidRPr="00DE06E5" w14:paraId="46CC743C" w14:textId="77777777" w:rsidTr="00257D0C">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4E19E3"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 gardiennes connaissant les effets secondaires</w:t>
            </w:r>
          </w:p>
        </w:tc>
        <w:tc>
          <w:tcPr>
            <w:tcW w:w="1615" w:type="dxa"/>
            <w:tcBorders>
              <w:top w:val="nil"/>
              <w:left w:val="nil"/>
              <w:bottom w:val="single" w:sz="4" w:space="0" w:color="auto"/>
              <w:right w:val="single" w:sz="4" w:space="0" w:color="auto"/>
            </w:tcBorders>
            <w:shd w:val="clear" w:color="auto" w:fill="auto"/>
            <w:noWrap/>
            <w:vAlign w:val="center"/>
            <w:hideMark/>
          </w:tcPr>
          <w:p w14:paraId="5443F64D"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4E4CC3D6"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7201B6BD"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21</w:t>
            </w:r>
          </w:p>
        </w:tc>
      </w:tr>
      <w:tr w:rsidR="00D83D48" w:rsidRPr="00DE06E5" w14:paraId="18B28065" w14:textId="77777777" w:rsidTr="00257D0C">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93FA24" w14:textId="77777777" w:rsidR="00D83D48" w:rsidRPr="00DE06E5" w:rsidRDefault="00D83D48" w:rsidP="00BD6B1C">
            <w:pPr>
              <w:widowControl/>
              <w:rPr>
                <w:rFonts w:ascii="Calibri Light" w:hAnsi="Calibri Light" w:cs="Calibri Light"/>
                <w:color w:val="000000"/>
                <w:sz w:val="22"/>
                <w:szCs w:val="22"/>
                <w:lang w:val="fr-FR" w:eastAsia="en-GB"/>
              </w:rPr>
            </w:pPr>
            <w:r>
              <w:rPr>
                <w:rFonts w:ascii="Calibri Light" w:hAnsi="Calibri Light" w:cs="Calibri Light"/>
                <w:color w:val="000000"/>
                <w:sz w:val="22"/>
                <w:szCs w:val="22"/>
                <w:lang w:val="fr-FR" w:eastAsia="en-GB"/>
              </w:rPr>
              <w:t xml:space="preserve"> </w:t>
            </w:r>
            <w:r w:rsidRPr="00DE06E5">
              <w:rPr>
                <w:rFonts w:ascii="Calibri Light" w:hAnsi="Calibri Light" w:cs="Calibri Light"/>
                <w:color w:val="000000"/>
                <w:sz w:val="22"/>
                <w:szCs w:val="22"/>
                <w:lang w:val="fr-FR" w:eastAsia="en-GB"/>
              </w:rPr>
              <w:t>Pourcentage des gardiennes reconnaissant l’efficacité de la CPS</w:t>
            </w:r>
          </w:p>
        </w:tc>
        <w:tc>
          <w:tcPr>
            <w:tcW w:w="1615" w:type="dxa"/>
            <w:tcBorders>
              <w:top w:val="nil"/>
              <w:left w:val="nil"/>
              <w:bottom w:val="single" w:sz="4" w:space="0" w:color="auto"/>
              <w:right w:val="single" w:sz="4" w:space="0" w:color="auto"/>
            </w:tcBorders>
            <w:shd w:val="clear" w:color="auto" w:fill="auto"/>
            <w:noWrap/>
            <w:vAlign w:val="center"/>
            <w:hideMark/>
          </w:tcPr>
          <w:p w14:paraId="43EFF079"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66E9310A"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Ménage ayant 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1B0B39B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22</w:t>
            </w:r>
          </w:p>
        </w:tc>
      </w:tr>
      <w:tr w:rsidR="00D83D48" w:rsidRPr="00DE06E5" w14:paraId="57DE01C2" w14:textId="77777777" w:rsidTr="00257D0C">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2F464C8" w14:textId="0D631109"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Pourcentage des gardiennes ayant déclaré que les agents de santé distributeurs portaient un masque</w:t>
            </w:r>
          </w:p>
        </w:tc>
        <w:tc>
          <w:tcPr>
            <w:tcW w:w="1615" w:type="dxa"/>
            <w:tcBorders>
              <w:top w:val="nil"/>
              <w:left w:val="nil"/>
              <w:bottom w:val="single" w:sz="4" w:space="0" w:color="auto"/>
              <w:right w:val="single" w:sz="4" w:space="0" w:color="auto"/>
            </w:tcBorders>
            <w:shd w:val="clear" w:color="auto" w:fill="auto"/>
            <w:noWrap/>
            <w:vAlign w:val="center"/>
            <w:hideMark/>
          </w:tcPr>
          <w:p w14:paraId="44CB0813"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3C019C51"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Concession atteinte (sélection aléatoire d'un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24D699F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r w:rsidR="00D83D48" w:rsidRPr="00DE06E5" w14:paraId="3A1BB087" w14:textId="77777777" w:rsidTr="00257D0C">
        <w:trPr>
          <w:trHeight w:val="5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F64591" w14:textId="2C913626"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Pourcentage des gardiennes ayant déclaré avoir reçu d’information de prévention de COVID-19 des agents de santé communautaire</w:t>
            </w:r>
          </w:p>
        </w:tc>
        <w:tc>
          <w:tcPr>
            <w:tcW w:w="1615" w:type="dxa"/>
            <w:tcBorders>
              <w:top w:val="nil"/>
              <w:left w:val="nil"/>
              <w:bottom w:val="single" w:sz="4" w:space="0" w:color="auto"/>
              <w:right w:val="single" w:sz="4" w:space="0" w:color="auto"/>
            </w:tcBorders>
            <w:shd w:val="clear" w:color="auto" w:fill="auto"/>
            <w:noWrap/>
            <w:vAlign w:val="center"/>
            <w:hideMark/>
          </w:tcPr>
          <w:p w14:paraId="54D7C090" w14:textId="77777777" w:rsidR="00D83D48" w:rsidRPr="00DE06E5" w:rsidRDefault="00D83D48" w:rsidP="00BD6B1C">
            <w:pPr>
              <w:widowControl/>
              <w:rPr>
                <w:rFonts w:ascii="Calibri Light" w:hAnsi="Calibri Light" w:cs="Calibri Light"/>
                <w:color w:val="000000"/>
                <w:sz w:val="22"/>
                <w:szCs w:val="22"/>
                <w:lang w:val="en-GB" w:eastAsia="en-GB"/>
              </w:rPr>
            </w:pPr>
            <w:proofErr w:type="spellStart"/>
            <w:r w:rsidRPr="00DE06E5">
              <w:rPr>
                <w:rFonts w:ascii="Calibri Light" w:hAnsi="Calibri Light" w:cs="Calibri Light"/>
                <w:color w:val="000000"/>
                <w:sz w:val="22"/>
                <w:szCs w:val="22"/>
                <w:lang w:val="en-GB" w:eastAsia="en-GB"/>
              </w:rPr>
              <w:t>Gardienne</w:t>
            </w:r>
            <w:proofErr w:type="spellEnd"/>
            <w:r w:rsidRPr="00DE06E5">
              <w:rPr>
                <w:rFonts w:ascii="Calibri Light" w:hAnsi="Calibri Light" w:cs="Calibri Light"/>
                <w:color w:val="000000"/>
                <w:sz w:val="22"/>
                <w:szCs w:val="22"/>
                <w:lang w:val="en-GB" w:eastAsia="en-GB"/>
              </w:rPr>
              <w:t xml:space="preserve"> d'enfant</w:t>
            </w:r>
          </w:p>
        </w:tc>
        <w:tc>
          <w:tcPr>
            <w:tcW w:w="2260" w:type="dxa"/>
            <w:tcBorders>
              <w:top w:val="nil"/>
              <w:left w:val="nil"/>
              <w:bottom w:val="single" w:sz="4" w:space="0" w:color="auto"/>
              <w:right w:val="single" w:sz="4" w:space="0" w:color="auto"/>
            </w:tcBorders>
            <w:shd w:val="clear" w:color="auto" w:fill="auto"/>
            <w:noWrap/>
            <w:vAlign w:val="center"/>
            <w:hideMark/>
          </w:tcPr>
          <w:p w14:paraId="74033BEF" w14:textId="77777777" w:rsidR="00D83D48" w:rsidRPr="00DE06E5" w:rsidRDefault="00D83D48" w:rsidP="00BD6B1C">
            <w:pPr>
              <w:widowControl/>
              <w:rPr>
                <w:rFonts w:ascii="Calibri Light" w:hAnsi="Calibri Light" w:cs="Calibri Light"/>
                <w:color w:val="000000"/>
                <w:sz w:val="22"/>
                <w:szCs w:val="22"/>
                <w:lang w:val="fr-FR" w:eastAsia="en-GB"/>
              </w:rPr>
            </w:pPr>
            <w:r w:rsidRPr="00DE06E5">
              <w:rPr>
                <w:rFonts w:ascii="Calibri Light" w:hAnsi="Calibri Light" w:cs="Calibri Light"/>
                <w:color w:val="000000"/>
                <w:sz w:val="22"/>
                <w:szCs w:val="22"/>
                <w:lang w:val="fr-FR" w:eastAsia="en-GB"/>
              </w:rPr>
              <w:t>Concession atteinte (sélection aléatoire d'un enfant éligible)</w:t>
            </w:r>
          </w:p>
        </w:tc>
        <w:tc>
          <w:tcPr>
            <w:tcW w:w="945" w:type="dxa"/>
            <w:tcBorders>
              <w:top w:val="nil"/>
              <w:left w:val="nil"/>
              <w:bottom w:val="single" w:sz="4" w:space="0" w:color="auto"/>
              <w:right w:val="single" w:sz="4" w:space="0" w:color="auto"/>
            </w:tcBorders>
            <w:shd w:val="clear" w:color="auto" w:fill="auto"/>
            <w:noWrap/>
            <w:vAlign w:val="center"/>
            <w:hideMark/>
          </w:tcPr>
          <w:p w14:paraId="3B1F480B" w14:textId="77777777" w:rsidR="00D83D48" w:rsidRPr="00DE06E5" w:rsidRDefault="00D83D48" w:rsidP="00BD6B1C">
            <w:pPr>
              <w:widowControl/>
              <w:rPr>
                <w:rFonts w:ascii="Calibri Light" w:hAnsi="Calibri Light" w:cs="Calibri Light"/>
                <w:color w:val="000000"/>
                <w:sz w:val="22"/>
                <w:szCs w:val="22"/>
                <w:lang w:val="en-GB" w:eastAsia="en-GB"/>
              </w:rPr>
            </w:pPr>
            <w:r w:rsidRPr="00DE06E5">
              <w:rPr>
                <w:rFonts w:ascii="Calibri Light" w:hAnsi="Calibri Light" w:cs="Calibri Light"/>
                <w:color w:val="000000"/>
                <w:sz w:val="22"/>
                <w:szCs w:val="22"/>
                <w:lang w:val="en-GB" w:eastAsia="en-GB"/>
              </w:rPr>
              <w:t>23</w:t>
            </w:r>
          </w:p>
        </w:tc>
      </w:tr>
    </w:tbl>
    <w:p w14:paraId="534FFF69" w14:textId="77777777" w:rsidR="00D83D48" w:rsidRPr="007104FF" w:rsidRDefault="00D83D48" w:rsidP="00D83D48">
      <w:pPr>
        <w:widowControl/>
        <w:spacing w:after="200"/>
        <w:jc w:val="both"/>
        <w:rPr>
          <w:rFonts w:ascii="Candara" w:hAnsi="Candara" w:cs="Calibri"/>
          <w:sz w:val="24"/>
          <w:szCs w:val="24"/>
          <w:lang w:val="fr-FR"/>
        </w:rPr>
      </w:pPr>
    </w:p>
    <w:p w14:paraId="3F064D37" w14:textId="77777777" w:rsidR="00D83D48" w:rsidRPr="007104FF" w:rsidRDefault="00D83D48" w:rsidP="00D83D48">
      <w:pPr>
        <w:widowControl/>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Rôles et responsabilités pour la mise en œuvre technique</w:t>
      </w:r>
    </w:p>
    <w:p w14:paraId="6FCD0A4C" w14:textId="77777777" w:rsidR="00D83D48" w:rsidRPr="007104FF" w:rsidRDefault="00D83D48" w:rsidP="00D83D48">
      <w:pPr>
        <w:widowControl/>
        <w:numPr>
          <w:ilvl w:val="0"/>
          <w:numId w:val="2"/>
        </w:num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Responsabilité de Malaria Consortium</w:t>
      </w:r>
    </w:p>
    <w:p w14:paraId="28110537" w14:textId="77777777" w:rsidR="00D83D48" w:rsidRPr="00A06912" w:rsidRDefault="00D83D48" w:rsidP="00D83D48">
      <w:pPr>
        <w:spacing w:line="276" w:lineRule="auto"/>
        <w:jc w:val="both"/>
        <w:rPr>
          <w:rFonts w:ascii="Candara" w:hAnsi="Candara" w:cs="Calibri"/>
          <w:color w:val="0D0D0D"/>
          <w:sz w:val="22"/>
          <w:szCs w:val="22"/>
          <w:lang w:val="fr-FR"/>
        </w:rPr>
      </w:pPr>
      <w:r w:rsidRPr="00A06912">
        <w:rPr>
          <w:rFonts w:ascii="Candara" w:hAnsi="Candara" w:cs="Calibri"/>
          <w:color w:val="0D0D0D"/>
          <w:sz w:val="22"/>
          <w:szCs w:val="22"/>
          <w:lang w:val="fr-FR"/>
        </w:rPr>
        <w:t>Malaria Consortium sera responsable de la conceptualisation de l’enquête, de la conception du questionnaire numérique et de l’accès à la plate-forme numérique (</w:t>
      </w:r>
      <w:proofErr w:type="spellStart"/>
      <w:r w:rsidRPr="00A06912">
        <w:rPr>
          <w:rFonts w:ascii="Candara" w:hAnsi="Candara" w:cs="Calibri"/>
          <w:color w:val="0D0D0D"/>
          <w:sz w:val="22"/>
          <w:szCs w:val="22"/>
          <w:lang w:val="fr-FR"/>
        </w:rPr>
        <w:t>SurveyCTO</w:t>
      </w:r>
      <w:proofErr w:type="spellEnd"/>
      <w:r w:rsidRPr="00A06912">
        <w:rPr>
          <w:rFonts w:ascii="Candara" w:hAnsi="Candara" w:cs="Calibri"/>
          <w:color w:val="0D0D0D"/>
          <w:sz w:val="22"/>
          <w:szCs w:val="22"/>
          <w:lang w:val="fr-FR"/>
        </w:rPr>
        <w:t xml:space="preserve">), qui sera tous disponible pour l'enquête. Malaria Consortium </w:t>
      </w:r>
      <w:proofErr w:type="spellStart"/>
      <w:r w:rsidRPr="00A06912">
        <w:rPr>
          <w:rFonts w:ascii="Candara" w:hAnsi="Candara" w:cs="Calibri"/>
          <w:color w:val="0D0D0D"/>
          <w:sz w:val="22"/>
          <w:szCs w:val="22"/>
          <w:lang w:val="fr-FR"/>
        </w:rPr>
        <w:t>co</w:t>
      </w:r>
      <w:proofErr w:type="spellEnd"/>
      <w:r w:rsidRPr="00A06912">
        <w:rPr>
          <w:rFonts w:ascii="Candara" w:hAnsi="Candara" w:cs="Calibri"/>
          <w:color w:val="0D0D0D"/>
          <w:sz w:val="22"/>
          <w:szCs w:val="22"/>
          <w:lang w:val="fr-FR"/>
        </w:rPr>
        <w:t xml:space="preserve">-facilitera la formation des enquêteurs à l'utilisation de </w:t>
      </w:r>
      <w:proofErr w:type="spellStart"/>
      <w:r w:rsidRPr="00A06912">
        <w:rPr>
          <w:rFonts w:ascii="Candara" w:hAnsi="Candara" w:cs="Calibri"/>
          <w:color w:val="0D0D0D"/>
          <w:sz w:val="22"/>
          <w:szCs w:val="22"/>
          <w:lang w:val="fr-FR"/>
        </w:rPr>
        <w:t>SurveyCTO</w:t>
      </w:r>
      <w:proofErr w:type="spellEnd"/>
      <w:r w:rsidRPr="00A06912">
        <w:rPr>
          <w:rFonts w:ascii="Candara" w:hAnsi="Candara" w:cs="Calibri"/>
          <w:color w:val="0D0D0D"/>
          <w:sz w:val="22"/>
          <w:szCs w:val="22"/>
          <w:lang w:val="fr-FR"/>
        </w:rPr>
        <w:t xml:space="preserve"> et à l'utilisation des questionnaires.</w:t>
      </w:r>
    </w:p>
    <w:p w14:paraId="3001CF58" w14:textId="77777777" w:rsidR="00D83D48" w:rsidRPr="00A06912" w:rsidRDefault="00D83D48" w:rsidP="00D83D48">
      <w:pPr>
        <w:spacing w:line="276" w:lineRule="auto"/>
        <w:jc w:val="both"/>
        <w:rPr>
          <w:rFonts w:ascii="Candara" w:hAnsi="Candara" w:cs="Calibri"/>
          <w:color w:val="0D0D0D"/>
          <w:sz w:val="22"/>
          <w:szCs w:val="22"/>
          <w:lang w:val="fr-FR"/>
        </w:rPr>
      </w:pPr>
      <w:r w:rsidRPr="00A06912">
        <w:rPr>
          <w:rFonts w:ascii="Candara" w:hAnsi="Candara" w:cs="Calibri"/>
          <w:color w:val="0D0D0D"/>
          <w:sz w:val="22"/>
          <w:szCs w:val="22"/>
          <w:lang w:val="fr-FR"/>
        </w:rPr>
        <w:lastRenderedPageBreak/>
        <w:t>Pour faciliter la réalisation de cette étude, Malaria Consortium demandera l’autorisation auprès du Programme National de Lutte contre le Paludisme et informera ses partenaires (Délégations Provinciales de la Santé et Districts de Santé).</w:t>
      </w:r>
    </w:p>
    <w:p w14:paraId="507C3DEE" w14:textId="77777777" w:rsidR="00D83D48" w:rsidRPr="00902A9B" w:rsidRDefault="00D83D48" w:rsidP="00D83D48">
      <w:pPr>
        <w:spacing w:line="276" w:lineRule="auto"/>
        <w:jc w:val="both"/>
        <w:rPr>
          <w:rFonts w:ascii="Candara" w:hAnsi="Candara" w:cs="Calibri"/>
          <w:color w:val="0D0D0D"/>
          <w:sz w:val="24"/>
          <w:szCs w:val="24"/>
          <w:lang w:val="fr-FR"/>
        </w:rPr>
      </w:pPr>
    </w:p>
    <w:p w14:paraId="4960C0EE" w14:textId="77777777" w:rsidR="00D83D48" w:rsidRPr="007104FF" w:rsidRDefault="00D83D48" w:rsidP="00D83D48">
      <w:pPr>
        <w:widowControl/>
        <w:numPr>
          <w:ilvl w:val="0"/>
          <w:numId w:val="2"/>
        </w:numPr>
        <w:spacing w:after="200" w:line="276" w:lineRule="auto"/>
        <w:jc w:val="both"/>
        <w:rPr>
          <w:rFonts w:ascii="Candara" w:hAnsi="Candara" w:cs="Calibri"/>
          <w:b/>
          <w:sz w:val="24"/>
          <w:szCs w:val="24"/>
          <w:lang w:val="fr-FR"/>
        </w:rPr>
      </w:pPr>
      <w:r w:rsidRPr="007104FF">
        <w:rPr>
          <w:rFonts w:ascii="Candara" w:hAnsi="Candara" w:cs="Calibri"/>
          <w:b/>
          <w:sz w:val="24"/>
          <w:szCs w:val="24"/>
          <w:lang w:val="fr-FR"/>
        </w:rPr>
        <w:t xml:space="preserve">Responsabilités du </w:t>
      </w:r>
      <w:r>
        <w:rPr>
          <w:rFonts w:ascii="Candara" w:hAnsi="Candara" w:cs="Calibri"/>
          <w:b/>
          <w:sz w:val="24"/>
          <w:szCs w:val="24"/>
          <w:lang w:val="fr-FR"/>
        </w:rPr>
        <w:t>Cabinet</w:t>
      </w:r>
    </w:p>
    <w:p w14:paraId="1FD652C3" w14:textId="77777777" w:rsidR="00D83D48" w:rsidRPr="00A06912" w:rsidRDefault="00D83D48" w:rsidP="00D83D48">
      <w:pPr>
        <w:widowControl/>
        <w:spacing w:after="200" w:line="276" w:lineRule="auto"/>
        <w:jc w:val="both"/>
        <w:rPr>
          <w:rFonts w:ascii="Candara" w:hAnsi="Candara" w:cs="Calibri"/>
          <w:sz w:val="22"/>
          <w:szCs w:val="22"/>
          <w:lang w:val="fr-FR"/>
        </w:rPr>
      </w:pPr>
      <w:r w:rsidRPr="00A06912">
        <w:rPr>
          <w:rFonts w:ascii="Candara" w:hAnsi="Candara" w:cs="Calibri"/>
          <w:sz w:val="22"/>
          <w:szCs w:val="22"/>
          <w:lang w:val="fr-FR"/>
        </w:rPr>
        <w:t>Le Cabinet accepte de mener de façon rigoureuse l’enquête de couverture CPS dans les 20 Districts de santé répartis dans 4 Délégations provinciales de santé et d’exécuter les tâches décrites dans le présent contrat.</w:t>
      </w:r>
    </w:p>
    <w:p w14:paraId="7C31D6AE" w14:textId="77777777" w:rsidR="00D83D48" w:rsidRPr="007104FF" w:rsidRDefault="00D83D48" w:rsidP="00D83D48">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 xml:space="preserve">Collecte et stockage de données </w:t>
      </w:r>
    </w:p>
    <w:p w14:paraId="1F05DB3B" w14:textId="77777777" w:rsidR="00D83D48" w:rsidRPr="007104FF" w:rsidRDefault="00D83D48" w:rsidP="00D83D48">
      <w:pPr>
        <w:spacing w:line="276" w:lineRule="auto"/>
        <w:jc w:val="both"/>
        <w:rPr>
          <w:rFonts w:ascii="Candara" w:hAnsi="Candara" w:cs="Calibri"/>
          <w:sz w:val="24"/>
          <w:szCs w:val="24"/>
          <w:lang w:val="fr-FR"/>
        </w:rPr>
      </w:pPr>
    </w:p>
    <w:p w14:paraId="3EB83063" w14:textId="77777777" w:rsidR="00D83D48" w:rsidRPr="00A06912" w:rsidRDefault="00D83D48" w:rsidP="00D83D48">
      <w:pPr>
        <w:spacing w:line="276" w:lineRule="auto"/>
        <w:jc w:val="both"/>
        <w:rPr>
          <w:rFonts w:ascii="Candara" w:hAnsi="Candara" w:cs="Calibri"/>
          <w:sz w:val="22"/>
          <w:szCs w:val="22"/>
          <w:lang w:val="fr-FR"/>
        </w:rPr>
      </w:pPr>
      <w:r w:rsidRPr="00A06912">
        <w:rPr>
          <w:rFonts w:ascii="Candara" w:hAnsi="Candara" w:cs="Calibri"/>
          <w:sz w:val="22"/>
          <w:szCs w:val="22"/>
          <w:lang w:val="fr-FR"/>
        </w:rPr>
        <w:t>Les données seront recueillies numériquement, très probablement en mode hors connexion et puis transférées à un serveur via un réseau mobile ou Wi-Fi à l’aide d’appareils mobiles, selon la disponibilité. Des appareils de poche numériques (smartphones) seront mis à disposition par Malaria Consortium.</w:t>
      </w:r>
    </w:p>
    <w:p w14:paraId="3B252A85" w14:textId="77777777" w:rsidR="00D83D48" w:rsidRPr="00A06912" w:rsidRDefault="00D83D48" w:rsidP="00D83D48">
      <w:pPr>
        <w:spacing w:line="276" w:lineRule="auto"/>
        <w:jc w:val="both"/>
        <w:rPr>
          <w:rFonts w:ascii="Candara" w:hAnsi="Candara" w:cs="Calibri"/>
          <w:sz w:val="22"/>
          <w:szCs w:val="22"/>
          <w:lang w:val="fr-FR"/>
        </w:rPr>
      </w:pPr>
      <w:r w:rsidRPr="00A06912">
        <w:rPr>
          <w:rFonts w:ascii="Candara" w:hAnsi="Candara" w:cs="Calibri"/>
          <w:sz w:val="22"/>
          <w:szCs w:val="22"/>
          <w:lang w:val="fr-FR"/>
        </w:rPr>
        <w:t>Malaria Consortium utilise une plateforme numérique spécifique (</w:t>
      </w:r>
      <w:proofErr w:type="spellStart"/>
      <w:r w:rsidRPr="00A06912">
        <w:rPr>
          <w:rFonts w:ascii="Candara" w:hAnsi="Candara" w:cs="Calibri"/>
          <w:b/>
          <w:sz w:val="22"/>
          <w:szCs w:val="22"/>
          <w:lang w:val="fr-FR"/>
        </w:rPr>
        <w:t>SurveyCTO</w:t>
      </w:r>
      <w:proofErr w:type="spellEnd"/>
      <w:r w:rsidRPr="00A06912">
        <w:rPr>
          <w:rFonts w:ascii="Candara" w:hAnsi="Candara" w:cs="Calibri"/>
          <w:sz w:val="22"/>
          <w:szCs w:val="22"/>
          <w:lang w:val="fr-FR"/>
        </w:rPr>
        <w:t xml:space="preserve">) et les agents enquêteurs seront dotés de niveaux d’accès appropriés pour la collecte de données par le biais de cette plate-forme.  </w:t>
      </w:r>
    </w:p>
    <w:p w14:paraId="352A979F" w14:textId="77777777" w:rsidR="00D83D48" w:rsidRPr="007104FF" w:rsidRDefault="00D83D48" w:rsidP="00D83D48">
      <w:pPr>
        <w:spacing w:line="276" w:lineRule="auto"/>
        <w:jc w:val="both"/>
        <w:rPr>
          <w:rFonts w:ascii="Candara" w:hAnsi="Candara" w:cs="Calibri"/>
          <w:b/>
          <w:sz w:val="24"/>
          <w:szCs w:val="24"/>
          <w:u w:val="single"/>
          <w:lang w:val="fr-FR"/>
        </w:rPr>
      </w:pPr>
    </w:p>
    <w:p w14:paraId="3E0775A5" w14:textId="77777777" w:rsidR="00D83D48" w:rsidRPr="007104FF" w:rsidRDefault="00D83D48" w:rsidP="00D83D48">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Analyse et gestion des données</w:t>
      </w:r>
    </w:p>
    <w:p w14:paraId="3F390E56" w14:textId="77777777" w:rsidR="00D83D48" w:rsidRPr="007104FF" w:rsidRDefault="00D83D48" w:rsidP="00D83D48">
      <w:pPr>
        <w:spacing w:line="276" w:lineRule="auto"/>
        <w:jc w:val="both"/>
        <w:rPr>
          <w:rFonts w:ascii="Candara" w:hAnsi="Candara" w:cs="Calibri"/>
          <w:sz w:val="24"/>
          <w:szCs w:val="24"/>
          <w:lang w:val="fr-FR"/>
        </w:rPr>
      </w:pPr>
    </w:p>
    <w:p w14:paraId="0AE7D974" w14:textId="77777777" w:rsidR="00D83D48" w:rsidRPr="00A06912" w:rsidRDefault="00D83D48" w:rsidP="00D83D48">
      <w:pPr>
        <w:spacing w:line="276" w:lineRule="auto"/>
        <w:jc w:val="both"/>
        <w:rPr>
          <w:rFonts w:ascii="Candara" w:hAnsi="Candara" w:cs="Calibri"/>
          <w:sz w:val="22"/>
          <w:szCs w:val="22"/>
          <w:lang w:val="fr-FR"/>
        </w:rPr>
      </w:pPr>
      <w:r w:rsidRPr="00A06912">
        <w:rPr>
          <w:rFonts w:ascii="Candara" w:hAnsi="Candara" w:cs="Calibri"/>
          <w:sz w:val="22"/>
          <w:szCs w:val="22"/>
          <w:lang w:val="fr-FR"/>
        </w:rPr>
        <w:t xml:space="preserve">L’attributaire désignera, dès le début, la ou les personnes clé(e)s qui sera responsable de l’analyse des données. La plate-forme de gestion de données par défaut sera </w:t>
      </w:r>
      <w:proofErr w:type="spellStart"/>
      <w:r w:rsidRPr="00A06912">
        <w:rPr>
          <w:rFonts w:ascii="Candara" w:hAnsi="Candara" w:cs="Calibri"/>
          <w:sz w:val="22"/>
          <w:szCs w:val="22"/>
          <w:lang w:val="fr-FR"/>
        </w:rPr>
        <w:t>SurveyCTO</w:t>
      </w:r>
      <w:proofErr w:type="spellEnd"/>
      <w:r w:rsidRPr="00A06912">
        <w:rPr>
          <w:rFonts w:ascii="Candara" w:hAnsi="Candara" w:cs="Calibri"/>
          <w:sz w:val="22"/>
          <w:szCs w:val="22"/>
          <w:lang w:val="fr-FR"/>
        </w:rPr>
        <w:t>, qui sera considérée comme stockage principal et outil de monitoring, et comme outil de base d’analyse. Toutefois, les soumissionnaires retenus seront encouragés à exporter les données vers un logiciel d’analyse de leur choix pour effectuer les analyses pertinentes. Malaria Consortium préfère travailler avec Stata, mais les autres logiciels de statistiques traditionnels sont autorisés. Malaria Consortium ne rendra pas disponible un tel logiciel, et le soumissionnaire doit être déjà en possession des licences appropriées pour leur logiciel de choix. Toutefois, le soumissionnaire fournira en plus des rapports une base de données apurée ayant servie à l’analyse au format .</w:t>
      </w:r>
      <w:proofErr w:type="spellStart"/>
      <w:r w:rsidRPr="00A06912">
        <w:rPr>
          <w:rFonts w:ascii="Candara" w:hAnsi="Candara" w:cs="Calibri"/>
          <w:sz w:val="22"/>
          <w:szCs w:val="22"/>
          <w:lang w:val="fr-FR"/>
        </w:rPr>
        <w:t>xls</w:t>
      </w:r>
      <w:proofErr w:type="spellEnd"/>
      <w:r w:rsidRPr="00A06912">
        <w:rPr>
          <w:rFonts w:ascii="Candara" w:hAnsi="Candara" w:cs="Calibri"/>
          <w:sz w:val="22"/>
          <w:szCs w:val="22"/>
          <w:lang w:val="fr-FR"/>
        </w:rPr>
        <w:t xml:space="preserve"> et le programme de production de tableaux et figures au format .do.</w:t>
      </w:r>
    </w:p>
    <w:p w14:paraId="7B8DF34E" w14:textId="77777777" w:rsidR="00D83D48" w:rsidRPr="007104FF" w:rsidRDefault="00D83D48" w:rsidP="00D83D48">
      <w:pPr>
        <w:spacing w:line="276" w:lineRule="auto"/>
        <w:jc w:val="both"/>
        <w:rPr>
          <w:rFonts w:ascii="Candara" w:hAnsi="Candara" w:cs="Calibri"/>
          <w:sz w:val="24"/>
          <w:szCs w:val="24"/>
          <w:lang w:val="fr-FR"/>
        </w:rPr>
      </w:pPr>
    </w:p>
    <w:p w14:paraId="0FBBF212" w14:textId="77777777" w:rsidR="00D83D48" w:rsidRPr="007104FF" w:rsidRDefault="00D83D48" w:rsidP="00D83D48">
      <w:pPr>
        <w:spacing w:line="276" w:lineRule="auto"/>
        <w:jc w:val="both"/>
        <w:rPr>
          <w:rFonts w:ascii="Candara" w:hAnsi="Candara" w:cs="Calibri"/>
          <w:b/>
          <w:i/>
          <w:sz w:val="24"/>
          <w:szCs w:val="24"/>
          <w:u w:val="single"/>
          <w:lang w:val="fr-FR"/>
        </w:rPr>
      </w:pPr>
      <w:r w:rsidRPr="007104FF">
        <w:rPr>
          <w:rFonts w:ascii="Candara" w:hAnsi="Candara" w:cs="Calibri"/>
          <w:b/>
          <w:i/>
          <w:sz w:val="24"/>
          <w:szCs w:val="24"/>
          <w:u w:val="single"/>
          <w:lang w:val="fr-FR"/>
        </w:rPr>
        <w:t xml:space="preserve">Reportage </w:t>
      </w:r>
    </w:p>
    <w:p w14:paraId="661257F2" w14:textId="77777777" w:rsidR="00D83D48" w:rsidRPr="00A06912" w:rsidRDefault="00D83D48" w:rsidP="00D83D48">
      <w:pPr>
        <w:spacing w:line="276" w:lineRule="auto"/>
        <w:jc w:val="both"/>
        <w:rPr>
          <w:rFonts w:ascii="Candara" w:hAnsi="Candara" w:cs="Calibri"/>
          <w:sz w:val="22"/>
          <w:szCs w:val="22"/>
          <w:lang w:val="fr-FR"/>
        </w:rPr>
      </w:pPr>
      <w:r w:rsidRPr="00A06912">
        <w:rPr>
          <w:rFonts w:ascii="Candara" w:hAnsi="Candara" w:cs="Calibri"/>
          <w:sz w:val="22"/>
          <w:szCs w:val="22"/>
          <w:lang w:val="fr-FR"/>
        </w:rPr>
        <w:t>Le soumissionnaire fournira un rapport préliminaire d’analyse. Ce rapport doit être disponible 10 jours maximum après la signature des contrats. Le rapport final doit être disponible au maximum 1 semaine avant le cycle suivant.</w:t>
      </w:r>
    </w:p>
    <w:p w14:paraId="625D22D4" w14:textId="77777777" w:rsidR="00D83D48" w:rsidRPr="00A06912" w:rsidRDefault="00D83D48" w:rsidP="00D83D48">
      <w:pPr>
        <w:spacing w:line="276" w:lineRule="auto"/>
        <w:jc w:val="both"/>
        <w:rPr>
          <w:rFonts w:ascii="Candara" w:hAnsi="Candara" w:cs="Calibri"/>
          <w:sz w:val="22"/>
          <w:szCs w:val="22"/>
          <w:lang w:val="fr-FR"/>
        </w:rPr>
      </w:pPr>
      <w:r w:rsidRPr="00A06912">
        <w:rPr>
          <w:rFonts w:ascii="Candara" w:hAnsi="Candara" w:cs="Calibri"/>
          <w:sz w:val="22"/>
          <w:szCs w:val="22"/>
          <w:lang w:val="fr-FR"/>
        </w:rPr>
        <w:t xml:space="preserve">A l’issue de la collecte de données de terrain, le soumissionnaire fournira un rapport final d’analyse narratif, avec la description de tous les résultats et les indicateurs en conformité avec la validité du contrat. Le soumissionnaire fournira par la même occasion un rapport financier complet. La langue de tous les rapports sera le Français et l’anglais.  </w:t>
      </w:r>
    </w:p>
    <w:p w14:paraId="2A0E1255" w14:textId="77777777" w:rsidR="00D83D48" w:rsidRPr="007104FF" w:rsidRDefault="00D83D48" w:rsidP="00D83D48">
      <w:pPr>
        <w:spacing w:line="276" w:lineRule="auto"/>
        <w:jc w:val="both"/>
        <w:rPr>
          <w:rFonts w:ascii="Candara" w:hAnsi="Candara" w:cs="Calibri"/>
          <w:sz w:val="24"/>
          <w:szCs w:val="24"/>
          <w:lang w:val="fr-FR"/>
        </w:rPr>
      </w:pPr>
    </w:p>
    <w:p w14:paraId="78E20F42" w14:textId="77777777" w:rsidR="00D83D48" w:rsidRPr="002426DE" w:rsidRDefault="00D83D48" w:rsidP="00D83D48">
      <w:pPr>
        <w:widowControl/>
        <w:numPr>
          <w:ilvl w:val="0"/>
          <w:numId w:val="2"/>
        </w:numPr>
        <w:spacing w:after="200" w:line="276" w:lineRule="auto"/>
        <w:jc w:val="both"/>
        <w:rPr>
          <w:rFonts w:ascii="Candara" w:hAnsi="Candara" w:cs="Calibri"/>
          <w:b/>
          <w:sz w:val="24"/>
          <w:szCs w:val="24"/>
          <w:lang w:val="fr-FR"/>
        </w:rPr>
      </w:pPr>
      <w:r w:rsidRPr="002426DE">
        <w:rPr>
          <w:rFonts w:ascii="Candara" w:hAnsi="Candara" w:cs="Calibri"/>
          <w:b/>
          <w:sz w:val="24"/>
          <w:szCs w:val="24"/>
          <w:lang w:val="fr-FR"/>
        </w:rPr>
        <w:t>Livrables</w:t>
      </w:r>
    </w:p>
    <w:p w14:paraId="137042A7" w14:textId="77777777" w:rsidR="00D83D48" w:rsidRPr="002426DE" w:rsidRDefault="00D83D48" w:rsidP="00D83D48">
      <w:pPr>
        <w:pStyle w:val="Default"/>
        <w:spacing w:line="276" w:lineRule="auto"/>
        <w:ind w:left="426"/>
        <w:jc w:val="both"/>
        <w:rPr>
          <w:rFonts w:ascii="Candara" w:hAnsi="Candara"/>
          <w:b/>
          <w:bCs/>
          <w:lang w:val="fr-FR"/>
        </w:rPr>
      </w:pPr>
      <w:r w:rsidRPr="002426DE">
        <w:rPr>
          <w:rFonts w:ascii="Candara" w:hAnsi="Candara"/>
          <w:b/>
          <w:bCs/>
          <w:lang w:val="fr-FR"/>
        </w:rPr>
        <w:t xml:space="preserve">Livrable 1: Formation </w:t>
      </w:r>
    </w:p>
    <w:p w14:paraId="54B9B4E4" w14:textId="77777777" w:rsidR="00D83D48" w:rsidRPr="002426DE" w:rsidRDefault="00D83D48" w:rsidP="00D83D48">
      <w:pPr>
        <w:pStyle w:val="Default"/>
        <w:spacing w:line="276" w:lineRule="auto"/>
        <w:jc w:val="both"/>
        <w:rPr>
          <w:rFonts w:ascii="Candara" w:hAnsi="Candara"/>
          <w:bCs/>
          <w:lang w:val="fr-FR"/>
        </w:rPr>
      </w:pPr>
    </w:p>
    <w:p w14:paraId="735D7FD1" w14:textId="77777777" w:rsidR="00D83D48" w:rsidRPr="00A06912" w:rsidRDefault="00D83D48" w:rsidP="00D83D48">
      <w:pPr>
        <w:pStyle w:val="Default"/>
        <w:spacing w:line="276" w:lineRule="auto"/>
        <w:jc w:val="both"/>
        <w:rPr>
          <w:rFonts w:ascii="Candara" w:hAnsi="Candara"/>
          <w:bCs/>
          <w:sz w:val="22"/>
          <w:szCs w:val="22"/>
          <w:lang w:val="fr-FR"/>
        </w:rPr>
      </w:pPr>
      <w:r w:rsidRPr="00A06912">
        <w:rPr>
          <w:rFonts w:ascii="Candara" w:hAnsi="Candara"/>
          <w:bCs/>
          <w:sz w:val="22"/>
          <w:szCs w:val="22"/>
          <w:lang w:val="fr-FR"/>
        </w:rPr>
        <w:lastRenderedPageBreak/>
        <w:t>Le Cabinet doit former le personnel chargé de l’enquête (agents enquêteurs, superviseurs, analystes de données et autres personnels compétents) avant le début des travaux sur le terrain. Un rapport de deux pages au maximum sur les points pertinents de la formation ainsi que la liste de présence doivent être soumis.</w:t>
      </w:r>
    </w:p>
    <w:p w14:paraId="64FD71D4" w14:textId="77777777" w:rsidR="00D83D48" w:rsidRPr="002426DE" w:rsidRDefault="00D83D48" w:rsidP="00D83D48">
      <w:pPr>
        <w:pStyle w:val="Default"/>
        <w:spacing w:line="276" w:lineRule="auto"/>
        <w:ind w:left="426"/>
        <w:jc w:val="both"/>
        <w:rPr>
          <w:rFonts w:ascii="Candara" w:hAnsi="Candara"/>
          <w:b/>
          <w:bCs/>
          <w:lang w:val="fr-FR"/>
        </w:rPr>
      </w:pPr>
    </w:p>
    <w:p w14:paraId="6A04CA6C" w14:textId="77777777" w:rsidR="00D83D48" w:rsidRPr="002426DE" w:rsidRDefault="00D83D48" w:rsidP="00D83D48">
      <w:pPr>
        <w:pStyle w:val="Default"/>
        <w:spacing w:line="276" w:lineRule="auto"/>
        <w:ind w:left="426"/>
        <w:jc w:val="both"/>
        <w:rPr>
          <w:rFonts w:ascii="Candara" w:hAnsi="Candara"/>
          <w:bCs/>
          <w:lang w:val="fr-FR"/>
        </w:rPr>
      </w:pPr>
      <w:r w:rsidRPr="002426DE">
        <w:rPr>
          <w:rFonts w:ascii="Candara" w:hAnsi="Candara"/>
          <w:b/>
          <w:bCs/>
          <w:lang w:val="fr-FR"/>
        </w:rPr>
        <w:t>Livrable 2: Collecte de données de terrain</w:t>
      </w:r>
    </w:p>
    <w:p w14:paraId="54D68D77" w14:textId="77777777" w:rsidR="00D83D48" w:rsidRPr="002426DE" w:rsidRDefault="00D83D48" w:rsidP="00D83D48">
      <w:pPr>
        <w:spacing w:line="276" w:lineRule="auto"/>
        <w:jc w:val="both"/>
        <w:rPr>
          <w:rFonts w:ascii="Candara" w:hAnsi="Candara" w:cs="Calibri"/>
          <w:bCs/>
          <w:sz w:val="24"/>
          <w:szCs w:val="24"/>
          <w:lang w:val="fr-FR"/>
        </w:rPr>
      </w:pPr>
    </w:p>
    <w:p w14:paraId="45FDEE37" w14:textId="77777777" w:rsidR="00D83D48" w:rsidRPr="00A06912" w:rsidRDefault="00D83D48" w:rsidP="00D83D48">
      <w:pPr>
        <w:spacing w:after="240" w:line="276" w:lineRule="auto"/>
        <w:jc w:val="both"/>
        <w:rPr>
          <w:rFonts w:ascii="Candara" w:hAnsi="Candara" w:cs="Calibri"/>
          <w:bCs/>
          <w:sz w:val="22"/>
          <w:szCs w:val="22"/>
          <w:lang w:val="fr-FR"/>
        </w:rPr>
      </w:pPr>
      <w:r w:rsidRPr="00A06912">
        <w:rPr>
          <w:rFonts w:ascii="Candara" w:hAnsi="Candara" w:cs="Calibri"/>
          <w:bCs/>
          <w:sz w:val="22"/>
          <w:szCs w:val="22"/>
          <w:lang w:val="fr-FR"/>
        </w:rPr>
        <w:t>Le Cabinet doit collecter et charger les données d’enquête sur la plate-forme numérique de Malaria Consortium (</w:t>
      </w:r>
      <w:proofErr w:type="spellStart"/>
      <w:r w:rsidRPr="00A06912">
        <w:rPr>
          <w:rFonts w:ascii="Candara" w:hAnsi="Candara" w:cs="Calibri"/>
          <w:bCs/>
          <w:sz w:val="22"/>
          <w:szCs w:val="22"/>
          <w:lang w:val="fr-FR"/>
        </w:rPr>
        <w:t>SurveyCTO</w:t>
      </w:r>
      <w:proofErr w:type="spellEnd"/>
      <w:r w:rsidRPr="00A06912">
        <w:rPr>
          <w:rFonts w:ascii="Candara" w:hAnsi="Candara" w:cs="Calibri"/>
          <w:bCs/>
          <w:sz w:val="22"/>
          <w:szCs w:val="22"/>
          <w:lang w:val="fr-FR"/>
        </w:rPr>
        <w:t xml:space="preserve">), en utilisant des dispositifs numériques portables adéquats pour la collecte des données et en disposant d’un accès approprié à Internet pour le chargement des données sur la plateforme </w:t>
      </w:r>
      <w:proofErr w:type="spellStart"/>
      <w:r w:rsidRPr="00A06912">
        <w:rPr>
          <w:rFonts w:ascii="Candara" w:hAnsi="Candara" w:cs="Calibri"/>
          <w:bCs/>
          <w:sz w:val="22"/>
          <w:szCs w:val="22"/>
          <w:lang w:val="fr-FR"/>
        </w:rPr>
        <w:t>SurveyCTO</w:t>
      </w:r>
      <w:proofErr w:type="spellEnd"/>
      <w:r w:rsidRPr="00A06912">
        <w:rPr>
          <w:rFonts w:ascii="Candara" w:hAnsi="Candara" w:cs="Calibri"/>
          <w:bCs/>
          <w:sz w:val="22"/>
          <w:szCs w:val="22"/>
          <w:lang w:val="fr-FR"/>
        </w:rPr>
        <w:t>.</w:t>
      </w:r>
    </w:p>
    <w:p w14:paraId="39A8819B" w14:textId="77777777" w:rsidR="00D83D48" w:rsidRPr="00A06912" w:rsidRDefault="00D83D48" w:rsidP="00D83D48">
      <w:pPr>
        <w:spacing w:after="240" w:line="276" w:lineRule="auto"/>
        <w:jc w:val="both"/>
        <w:rPr>
          <w:rFonts w:ascii="Candara" w:hAnsi="Candara" w:cs="Calibri"/>
          <w:bCs/>
          <w:sz w:val="22"/>
          <w:szCs w:val="22"/>
          <w:lang w:val="fr-FR"/>
        </w:rPr>
      </w:pPr>
      <w:r w:rsidRPr="00A06912">
        <w:rPr>
          <w:rFonts w:ascii="Candara" w:hAnsi="Candara" w:cs="Calibri"/>
          <w:bCs/>
          <w:sz w:val="22"/>
          <w:szCs w:val="22"/>
          <w:lang w:val="fr-FR"/>
        </w:rPr>
        <w:t xml:space="preserve">         </w:t>
      </w:r>
      <w:r w:rsidRPr="00A06912">
        <w:rPr>
          <w:rFonts w:ascii="Candara" w:hAnsi="Candara" w:cs="Calibri"/>
          <w:b/>
          <w:bCs/>
          <w:sz w:val="22"/>
          <w:szCs w:val="22"/>
          <w:lang w:val="fr-FR"/>
        </w:rPr>
        <w:t>Livrable 3</w:t>
      </w:r>
      <w:r w:rsidRPr="00A06912">
        <w:rPr>
          <w:rFonts w:ascii="Candara" w:hAnsi="Candara" w:cs="Calibri"/>
          <w:bCs/>
          <w:sz w:val="22"/>
          <w:szCs w:val="22"/>
          <w:lang w:val="fr-FR"/>
        </w:rPr>
        <w:t> : Rapport intermédiaire</w:t>
      </w:r>
    </w:p>
    <w:p w14:paraId="1080F80B" w14:textId="11EFF414" w:rsidR="00D83D48" w:rsidRPr="00A06912" w:rsidRDefault="00D83D48" w:rsidP="00D83D48">
      <w:pPr>
        <w:spacing w:after="240" w:line="276" w:lineRule="auto"/>
        <w:jc w:val="both"/>
        <w:rPr>
          <w:rFonts w:ascii="Candara" w:hAnsi="Candara" w:cs="Calibri"/>
          <w:bCs/>
          <w:sz w:val="22"/>
          <w:szCs w:val="22"/>
          <w:lang w:val="fr-FR"/>
        </w:rPr>
      </w:pPr>
      <w:r w:rsidRPr="00A06912">
        <w:rPr>
          <w:rFonts w:ascii="Candara" w:hAnsi="Candara" w:cs="Calibri"/>
          <w:bCs/>
          <w:sz w:val="22"/>
          <w:szCs w:val="22"/>
          <w:lang w:val="fr-FR"/>
        </w:rPr>
        <w:t xml:space="preserve">         </w:t>
      </w:r>
      <w:r w:rsidRPr="00A06912">
        <w:rPr>
          <w:rFonts w:ascii="Candara" w:hAnsi="Candara" w:cs="Calibri"/>
          <w:b/>
          <w:bCs/>
          <w:sz w:val="22"/>
          <w:szCs w:val="22"/>
          <w:lang w:val="fr-FR"/>
        </w:rPr>
        <w:t>Livrable 4</w:t>
      </w:r>
      <w:r w:rsidRPr="00A06912">
        <w:rPr>
          <w:rFonts w:ascii="Candara" w:hAnsi="Candara" w:cs="Calibri"/>
          <w:bCs/>
          <w:sz w:val="22"/>
          <w:szCs w:val="22"/>
          <w:lang w:val="fr-FR"/>
        </w:rPr>
        <w:t> : Le rapport analytique final, base de données et programme informatique (do</w:t>
      </w:r>
      <w:r w:rsidR="00A06912">
        <w:rPr>
          <w:rFonts w:ascii="Candara" w:hAnsi="Candara" w:cs="Calibri"/>
          <w:bCs/>
          <w:sz w:val="22"/>
          <w:szCs w:val="22"/>
          <w:lang w:val="fr-FR"/>
        </w:rPr>
        <w:t xml:space="preserve"> </w:t>
      </w:r>
      <w:r w:rsidRPr="00A06912">
        <w:rPr>
          <w:rFonts w:ascii="Candara" w:hAnsi="Candara" w:cs="Calibri"/>
          <w:bCs/>
          <w:sz w:val="22"/>
          <w:szCs w:val="22"/>
          <w:lang w:val="fr-FR"/>
        </w:rPr>
        <w:t xml:space="preserve">file) </w:t>
      </w:r>
    </w:p>
    <w:p w14:paraId="3EB88494" w14:textId="77777777" w:rsidR="00D83D48" w:rsidRPr="007104FF" w:rsidRDefault="00D83D48" w:rsidP="00D83D48">
      <w:pPr>
        <w:numPr>
          <w:ilvl w:val="0"/>
          <w:numId w:val="2"/>
        </w:numPr>
        <w:spacing w:line="276" w:lineRule="auto"/>
        <w:jc w:val="both"/>
        <w:rPr>
          <w:rFonts w:ascii="Candara" w:hAnsi="Candara" w:cs="Calibri"/>
          <w:b/>
          <w:sz w:val="24"/>
          <w:szCs w:val="24"/>
          <w:lang w:val="fr-FR"/>
        </w:rPr>
      </w:pPr>
      <w:r w:rsidRPr="007104FF">
        <w:rPr>
          <w:rFonts w:ascii="Candara" w:hAnsi="Candara" w:cs="Calibri"/>
          <w:b/>
          <w:sz w:val="24"/>
          <w:szCs w:val="24"/>
          <w:lang w:val="fr-FR"/>
        </w:rPr>
        <w:t>Date limite d’exécution des services</w:t>
      </w:r>
    </w:p>
    <w:p w14:paraId="47C2FFA7" w14:textId="77777777" w:rsidR="00D83D48" w:rsidRPr="007104FF" w:rsidRDefault="00D83D48" w:rsidP="00D83D48">
      <w:pPr>
        <w:spacing w:line="276" w:lineRule="auto"/>
        <w:jc w:val="both"/>
        <w:rPr>
          <w:rFonts w:ascii="Candara" w:hAnsi="Candara" w:cs="Calibri"/>
          <w:sz w:val="24"/>
          <w:szCs w:val="24"/>
          <w:lang w:val="fr-FR"/>
        </w:rPr>
      </w:pPr>
    </w:p>
    <w:p w14:paraId="1ED67400" w14:textId="77915731" w:rsidR="00D83D48" w:rsidRPr="00A06912" w:rsidRDefault="00D83D48" w:rsidP="00D83D48">
      <w:pPr>
        <w:spacing w:line="276" w:lineRule="auto"/>
        <w:jc w:val="both"/>
        <w:rPr>
          <w:rFonts w:ascii="Candara" w:hAnsi="Candara" w:cs="Calibri"/>
          <w:sz w:val="22"/>
          <w:szCs w:val="22"/>
          <w:lang w:val="fr-FR"/>
        </w:rPr>
      </w:pPr>
      <w:r w:rsidRPr="00A06912">
        <w:rPr>
          <w:rFonts w:ascii="Candara" w:hAnsi="Candara" w:cs="Calibri"/>
          <w:sz w:val="22"/>
          <w:szCs w:val="22"/>
          <w:lang w:val="fr-FR"/>
        </w:rPr>
        <w:t xml:space="preserve">Le Cabinet s'engage à respecter les délais </w:t>
      </w:r>
      <w:r w:rsidR="00C32371" w:rsidRPr="00A06912">
        <w:rPr>
          <w:rFonts w:ascii="Candara" w:hAnsi="Candara" w:cs="Calibri"/>
          <w:sz w:val="22"/>
          <w:szCs w:val="22"/>
          <w:lang w:val="fr-FR"/>
        </w:rPr>
        <w:t>suivants :</w:t>
      </w:r>
    </w:p>
    <w:p w14:paraId="242CDEAC" w14:textId="77777777" w:rsidR="00D83D48" w:rsidRPr="00A06912" w:rsidRDefault="00D83D48" w:rsidP="00D83D48">
      <w:pPr>
        <w:numPr>
          <w:ilvl w:val="0"/>
          <w:numId w:val="3"/>
        </w:numPr>
        <w:spacing w:line="276" w:lineRule="auto"/>
        <w:jc w:val="both"/>
        <w:rPr>
          <w:rFonts w:ascii="Candara" w:hAnsi="Candara" w:cs="Calibri"/>
          <w:sz w:val="22"/>
          <w:szCs w:val="22"/>
          <w:lang w:val="fr-FR"/>
        </w:rPr>
      </w:pPr>
      <w:r w:rsidRPr="00A06912">
        <w:rPr>
          <w:rFonts w:ascii="Candara" w:hAnsi="Candara" w:cs="Calibri"/>
          <w:sz w:val="22"/>
          <w:szCs w:val="22"/>
          <w:lang w:val="fr-FR"/>
        </w:rPr>
        <w:t>Formation du personnel de l’enquête terminée dans un délai maximum de [2] jours à compter de la signature du présent contrat. Le rapport de formation (maximum 2 pages) avec la feuille de présence et les résultats de l’évaluation des récipiendaires en annexe doit être remis dans les 48 heures suivant l’achèvement de la formation. Malaria Consortium prendra en compte ces activités dans les 24 heures suivant la réception du rapport de formation. Si des éclaircissements supplémentaires sont nécessaires, un délai maximum de 24 heures (jour ouvrable) sera accordé pour la nouvelle soumission. Sinon, la preuve de livraison ne sera pas approuvée par Malaria Consortium.</w:t>
      </w:r>
    </w:p>
    <w:p w14:paraId="68672893" w14:textId="77777777" w:rsidR="00D83D48" w:rsidRPr="00A06912" w:rsidRDefault="00D83D48" w:rsidP="00D83D48">
      <w:pPr>
        <w:numPr>
          <w:ilvl w:val="0"/>
          <w:numId w:val="3"/>
        </w:numPr>
        <w:spacing w:line="276" w:lineRule="auto"/>
        <w:jc w:val="both"/>
        <w:rPr>
          <w:rFonts w:ascii="Candara" w:hAnsi="Candara" w:cs="Calibri"/>
          <w:sz w:val="22"/>
          <w:szCs w:val="22"/>
          <w:lang w:val="fr-FR"/>
        </w:rPr>
      </w:pPr>
      <w:r w:rsidRPr="00A06912">
        <w:rPr>
          <w:rFonts w:ascii="Candara" w:hAnsi="Candara" w:cs="Calibri"/>
          <w:sz w:val="22"/>
          <w:szCs w:val="22"/>
          <w:lang w:val="fr-FR"/>
        </w:rPr>
        <w:t>Enquête sur le terrain (collecte de données) achevée dans un délai maximum de sept [7] jours à compter de la signature du présent contrat ;</w:t>
      </w:r>
    </w:p>
    <w:p w14:paraId="588C832A" w14:textId="77777777" w:rsidR="00D83D48" w:rsidRPr="00A06912" w:rsidRDefault="00D83D48" w:rsidP="00D83D48">
      <w:pPr>
        <w:numPr>
          <w:ilvl w:val="0"/>
          <w:numId w:val="3"/>
        </w:numPr>
        <w:spacing w:line="276" w:lineRule="auto"/>
        <w:jc w:val="both"/>
        <w:rPr>
          <w:rFonts w:ascii="Candara" w:hAnsi="Candara" w:cs="Calibri"/>
          <w:sz w:val="22"/>
          <w:szCs w:val="22"/>
          <w:lang w:val="fr-FR"/>
        </w:rPr>
      </w:pPr>
      <w:r w:rsidRPr="00A06912">
        <w:rPr>
          <w:rFonts w:ascii="Candara" w:hAnsi="Candara" w:cs="Calibri"/>
          <w:sz w:val="22"/>
          <w:szCs w:val="22"/>
          <w:lang w:val="fr-FR"/>
        </w:rPr>
        <w:t>Rapport préliminaire remis dans les 3 jours suivant l'achèvement des travaux d'enquête sur le terrain.</w:t>
      </w:r>
    </w:p>
    <w:p w14:paraId="2190D473" w14:textId="77777777" w:rsidR="00D83D48" w:rsidRPr="00A06912" w:rsidRDefault="00D83D48" w:rsidP="00257D0C">
      <w:pPr>
        <w:numPr>
          <w:ilvl w:val="0"/>
          <w:numId w:val="3"/>
        </w:numPr>
        <w:spacing w:after="120" w:line="276" w:lineRule="auto"/>
        <w:jc w:val="both"/>
        <w:rPr>
          <w:rFonts w:ascii="Candara" w:hAnsi="Candara" w:cs="Calibri"/>
          <w:sz w:val="22"/>
          <w:szCs w:val="22"/>
          <w:lang w:val="fr-FR"/>
        </w:rPr>
      </w:pPr>
      <w:r w:rsidRPr="00A06912">
        <w:rPr>
          <w:rFonts w:ascii="Candara" w:hAnsi="Candara" w:cs="Calibri"/>
          <w:sz w:val="22"/>
          <w:szCs w:val="22"/>
          <w:lang w:val="fr-FR"/>
        </w:rPr>
        <w:t xml:space="preserve">Rapport final remis dans la semaine suivant la soumission du rapport préliminaire. </w:t>
      </w:r>
    </w:p>
    <w:p w14:paraId="4C3312B9" w14:textId="77777777" w:rsidR="00D83D48" w:rsidRPr="00E5518D" w:rsidRDefault="00D83D48" w:rsidP="00257D0C">
      <w:pPr>
        <w:numPr>
          <w:ilvl w:val="0"/>
          <w:numId w:val="3"/>
        </w:numPr>
        <w:spacing w:after="120" w:line="276" w:lineRule="auto"/>
        <w:jc w:val="both"/>
        <w:rPr>
          <w:rFonts w:ascii="Candara" w:hAnsi="Candara" w:cs="Calibri"/>
          <w:sz w:val="24"/>
          <w:szCs w:val="24"/>
          <w:lang w:val="fr-FR"/>
        </w:rPr>
      </w:pPr>
      <w:r w:rsidRPr="00A06912">
        <w:rPr>
          <w:rFonts w:ascii="Candara" w:hAnsi="Candara" w:cs="Calibri"/>
          <w:sz w:val="22"/>
          <w:szCs w:val="22"/>
          <w:lang w:val="fr-FR"/>
        </w:rPr>
        <w:t>En cas de non-respect des délais susmentionnés, ces retards feront l'objet de pénalités équivalant à 0,5% de la valeur du contrat pour chaque jour de retard, jusqu'à concurrence de 10% de la valeur du contrat. Le paiement des retards sera déterminé par rapport à la preuve de livraison des délais d’exécution, toute pénalité pouvant être déduite du paiement final.</w:t>
      </w:r>
    </w:p>
    <w:p w14:paraId="757141FC" w14:textId="77777777" w:rsidR="00D83D48" w:rsidRPr="00204F05" w:rsidRDefault="00D83D48" w:rsidP="00D83D48">
      <w:pPr>
        <w:spacing w:line="276" w:lineRule="auto"/>
        <w:jc w:val="both"/>
        <w:rPr>
          <w:rFonts w:ascii="Candara" w:hAnsi="Candara" w:cs="Calibri"/>
          <w:b/>
          <w:sz w:val="24"/>
          <w:szCs w:val="24"/>
          <w:lang w:val="fr-FR"/>
        </w:rPr>
      </w:pPr>
      <w:r w:rsidRPr="00204F05">
        <w:rPr>
          <w:rFonts w:ascii="Candara" w:hAnsi="Candara" w:cs="Calibri"/>
          <w:b/>
          <w:sz w:val="24"/>
          <w:szCs w:val="24"/>
          <w:lang w:val="fr-FR"/>
        </w:rPr>
        <w:t>Gestion financière et rapportage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5387"/>
        <w:gridCol w:w="1276"/>
      </w:tblGrid>
      <w:tr w:rsidR="00D83D48" w:rsidRPr="00A06912" w14:paraId="0266E485" w14:textId="77777777" w:rsidTr="00A06912">
        <w:tc>
          <w:tcPr>
            <w:tcW w:w="1134" w:type="dxa"/>
            <w:shd w:val="clear" w:color="auto" w:fill="auto"/>
          </w:tcPr>
          <w:p w14:paraId="14FD5909" w14:textId="77777777" w:rsidR="00D83D48" w:rsidRPr="00A06912" w:rsidRDefault="00D83D48" w:rsidP="00BD6B1C">
            <w:pPr>
              <w:spacing w:line="276" w:lineRule="auto"/>
              <w:jc w:val="both"/>
              <w:rPr>
                <w:rFonts w:ascii="Candara" w:hAnsi="Candara" w:cs="Calibri"/>
                <w:b/>
                <w:sz w:val="22"/>
                <w:szCs w:val="22"/>
                <w:lang w:val="fr-FR"/>
              </w:rPr>
            </w:pPr>
            <w:r w:rsidRPr="00A06912">
              <w:rPr>
                <w:rFonts w:ascii="Candara" w:hAnsi="Candara" w:cs="Calibri"/>
                <w:b/>
                <w:sz w:val="22"/>
                <w:szCs w:val="22"/>
                <w:lang w:val="fr-FR"/>
              </w:rPr>
              <w:t>Tranche</w:t>
            </w:r>
          </w:p>
        </w:tc>
        <w:tc>
          <w:tcPr>
            <w:tcW w:w="2268" w:type="dxa"/>
            <w:shd w:val="clear" w:color="auto" w:fill="auto"/>
          </w:tcPr>
          <w:p w14:paraId="564D64BE" w14:textId="77777777" w:rsidR="00D83D48" w:rsidRPr="00A06912" w:rsidRDefault="00D83D48" w:rsidP="00BD6B1C">
            <w:pPr>
              <w:spacing w:line="276" w:lineRule="auto"/>
              <w:jc w:val="both"/>
              <w:rPr>
                <w:rFonts w:ascii="Candara" w:hAnsi="Candara" w:cs="Calibri"/>
                <w:b/>
                <w:sz w:val="22"/>
                <w:szCs w:val="22"/>
                <w:lang w:val="fr-FR"/>
              </w:rPr>
            </w:pPr>
            <w:r w:rsidRPr="00A06912">
              <w:rPr>
                <w:rFonts w:ascii="Candara" w:hAnsi="Candara" w:cs="Calibri"/>
                <w:b/>
                <w:sz w:val="22"/>
                <w:szCs w:val="22"/>
                <w:lang w:val="fr-FR"/>
              </w:rPr>
              <w:t>Description</w:t>
            </w:r>
          </w:p>
        </w:tc>
        <w:tc>
          <w:tcPr>
            <w:tcW w:w="5387" w:type="dxa"/>
          </w:tcPr>
          <w:p w14:paraId="721EA8E2" w14:textId="77777777" w:rsidR="00D83D48" w:rsidRPr="00A06912" w:rsidRDefault="00D83D48" w:rsidP="00BD6B1C">
            <w:pPr>
              <w:spacing w:line="276" w:lineRule="auto"/>
              <w:jc w:val="both"/>
              <w:rPr>
                <w:rFonts w:ascii="Candara" w:hAnsi="Candara" w:cs="Calibri"/>
                <w:b/>
                <w:sz w:val="22"/>
                <w:szCs w:val="22"/>
                <w:lang w:val="fr-FR"/>
              </w:rPr>
            </w:pPr>
            <w:r w:rsidRPr="00A06912">
              <w:rPr>
                <w:rFonts w:ascii="Candara" w:hAnsi="Candara" w:cs="Calibri"/>
                <w:b/>
                <w:sz w:val="22"/>
                <w:szCs w:val="22"/>
                <w:lang w:val="fr-FR"/>
              </w:rPr>
              <w:t>Documents requis</w:t>
            </w:r>
          </w:p>
        </w:tc>
        <w:tc>
          <w:tcPr>
            <w:tcW w:w="1276" w:type="dxa"/>
            <w:shd w:val="clear" w:color="auto" w:fill="auto"/>
          </w:tcPr>
          <w:p w14:paraId="1D41DA78" w14:textId="77777777" w:rsidR="00D83D48" w:rsidRPr="00A06912" w:rsidRDefault="00D83D48" w:rsidP="00BD6B1C">
            <w:pPr>
              <w:spacing w:line="276" w:lineRule="auto"/>
              <w:jc w:val="both"/>
              <w:rPr>
                <w:rFonts w:ascii="Candara" w:hAnsi="Candara" w:cs="Calibri"/>
                <w:b/>
                <w:sz w:val="22"/>
                <w:szCs w:val="22"/>
                <w:lang w:val="fr-FR"/>
              </w:rPr>
            </w:pPr>
            <w:r w:rsidRPr="00A06912">
              <w:rPr>
                <w:rFonts w:ascii="Candara" w:hAnsi="Candara" w:cs="Calibri"/>
                <w:b/>
                <w:sz w:val="22"/>
                <w:szCs w:val="22"/>
                <w:lang w:val="fr-FR"/>
              </w:rPr>
              <w:t>Rapport Financier</w:t>
            </w:r>
          </w:p>
        </w:tc>
      </w:tr>
      <w:tr w:rsidR="00D83D48" w:rsidRPr="00A06912" w14:paraId="1CDF7F08" w14:textId="77777777" w:rsidTr="00A06912">
        <w:trPr>
          <w:trHeight w:val="132"/>
        </w:trPr>
        <w:tc>
          <w:tcPr>
            <w:tcW w:w="1134" w:type="dxa"/>
            <w:shd w:val="clear" w:color="auto" w:fill="auto"/>
          </w:tcPr>
          <w:p w14:paraId="40597B43" w14:textId="77777777" w:rsidR="00D83D48" w:rsidRPr="00A06912" w:rsidRDefault="00D83D48" w:rsidP="00BD6B1C">
            <w:pPr>
              <w:spacing w:line="276" w:lineRule="auto"/>
              <w:jc w:val="both"/>
              <w:rPr>
                <w:rFonts w:ascii="Candara" w:hAnsi="Candara" w:cs="Calibri"/>
                <w:sz w:val="22"/>
                <w:szCs w:val="22"/>
                <w:lang w:val="fr-FR"/>
              </w:rPr>
            </w:pPr>
          </w:p>
          <w:p w14:paraId="43DA94FB" w14:textId="77777777" w:rsidR="00D83D48" w:rsidRPr="00A06912" w:rsidRDefault="00D83D48" w:rsidP="00BD6B1C">
            <w:pPr>
              <w:spacing w:line="276" w:lineRule="auto"/>
              <w:jc w:val="both"/>
              <w:rPr>
                <w:rFonts w:ascii="Candara" w:hAnsi="Candara" w:cs="Calibri"/>
                <w:sz w:val="22"/>
                <w:szCs w:val="22"/>
                <w:lang w:val="fr-FR"/>
              </w:rPr>
            </w:pPr>
          </w:p>
          <w:p w14:paraId="33923148" w14:textId="77777777" w:rsidR="00D83D48" w:rsidRPr="00A06912" w:rsidRDefault="00D83D48" w:rsidP="00BD6B1C">
            <w:pPr>
              <w:spacing w:line="276" w:lineRule="auto"/>
              <w:jc w:val="both"/>
              <w:rPr>
                <w:rFonts w:ascii="Candara" w:hAnsi="Candara" w:cs="Calibri"/>
                <w:sz w:val="22"/>
                <w:szCs w:val="22"/>
                <w:lang w:val="fr-FR"/>
              </w:rPr>
            </w:pPr>
            <w:r w:rsidRPr="00A06912">
              <w:rPr>
                <w:rFonts w:ascii="Candara" w:hAnsi="Candara" w:cs="Calibri"/>
                <w:sz w:val="22"/>
                <w:szCs w:val="22"/>
                <w:lang w:val="fr-FR"/>
              </w:rPr>
              <w:t>1</w:t>
            </w:r>
          </w:p>
        </w:tc>
        <w:tc>
          <w:tcPr>
            <w:tcW w:w="2268" w:type="dxa"/>
            <w:shd w:val="clear" w:color="auto" w:fill="auto"/>
          </w:tcPr>
          <w:p w14:paraId="0A7977AB" w14:textId="77777777" w:rsidR="00D83D48" w:rsidRPr="00A06912" w:rsidRDefault="00D83D48" w:rsidP="00BD6B1C">
            <w:pPr>
              <w:spacing w:line="276" w:lineRule="auto"/>
              <w:jc w:val="both"/>
              <w:rPr>
                <w:rFonts w:ascii="Candara" w:hAnsi="Candara" w:cs="Calibri"/>
                <w:sz w:val="22"/>
                <w:szCs w:val="22"/>
                <w:lang w:val="fr-FR"/>
              </w:rPr>
            </w:pPr>
          </w:p>
          <w:p w14:paraId="70F08CCC" w14:textId="77777777" w:rsidR="00D83D48" w:rsidRPr="00A06912" w:rsidRDefault="00D83D48" w:rsidP="00BD6B1C">
            <w:pPr>
              <w:spacing w:line="276" w:lineRule="auto"/>
              <w:jc w:val="both"/>
              <w:rPr>
                <w:rFonts w:ascii="Candara" w:hAnsi="Candara" w:cs="Calibri"/>
                <w:sz w:val="22"/>
                <w:szCs w:val="22"/>
                <w:lang w:val="fr-FR"/>
              </w:rPr>
            </w:pPr>
          </w:p>
          <w:p w14:paraId="5756585B" w14:textId="77777777" w:rsidR="00D83D48" w:rsidRPr="00A06912" w:rsidRDefault="00D83D48" w:rsidP="00BD6B1C">
            <w:pPr>
              <w:spacing w:line="276" w:lineRule="auto"/>
              <w:jc w:val="both"/>
              <w:rPr>
                <w:rFonts w:ascii="Candara" w:hAnsi="Candara" w:cs="Calibri"/>
                <w:sz w:val="22"/>
                <w:szCs w:val="22"/>
                <w:lang w:val="fr-FR"/>
              </w:rPr>
            </w:pPr>
            <w:r w:rsidRPr="00A06912">
              <w:rPr>
                <w:rFonts w:ascii="Candara" w:hAnsi="Candara" w:cs="Calibri"/>
                <w:sz w:val="22"/>
                <w:szCs w:val="22"/>
                <w:lang w:val="fr-FR"/>
              </w:rPr>
              <w:t>Paiement unique après la réalisation des services</w:t>
            </w:r>
          </w:p>
        </w:tc>
        <w:tc>
          <w:tcPr>
            <w:tcW w:w="5387" w:type="dxa"/>
          </w:tcPr>
          <w:p w14:paraId="26888AC7" w14:textId="77777777" w:rsidR="00D83D48" w:rsidRPr="00A06912" w:rsidRDefault="00D83D48" w:rsidP="00D83D48">
            <w:pPr>
              <w:numPr>
                <w:ilvl w:val="0"/>
                <w:numId w:val="4"/>
              </w:numPr>
              <w:spacing w:line="276" w:lineRule="auto"/>
              <w:jc w:val="both"/>
              <w:rPr>
                <w:rFonts w:ascii="Candara" w:hAnsi="Candara" w:cs="Calibri"/>
                <w:sz w:val="22"/>
                <w:szCs w:val="22"/>
                <w:lang w:val="fr-FR"/>
              </w:rPr>
            </w:pPr>
            <w:r w:rsidRPr="00A06912">
              <w:rPr>
                <w:rFonts w:ascii="Candara" w:hAnsi="Candara" w:cs="Calibri"/>
                <w:sz w:val="22"/>
                <w:szCs w:val="22"/>
                <w:lang w:val="fr-FR"/>
              </w:rPr>
              <w:t>Rapport de formation des agents enquêteurs</w:t>
            </w:r>
          </w:p>
          <w:p w14:paraId="5F40C776" w14:textId="77777777" w:rsidR="00D83D48" w:rsidRPr="00A06912" w:rsidRDefault="00D83D48" w:rsidP="00D83D48">
            <w:pPr>
              <w:numPr>
                <w:ilvl w:val="0"/>
                <w:numId w:val="4"/>
              </w:numPr>
              <w:spacing w:line="276" w:lineRule="auto"/>
              <w:jc w:val="both"/>
              <w:rPr>
                <w:rFonts w:ascii="Candara" w:hAnsi="Candara" w:cs="Calibri"/>
                <w:sz w:val="22"/>
                <w:szCs w:val="22"/>
                <w:lang w:val="fr-FR"/>
              </w:rPr>
            </w:pPr>
            <w:r w:rsidRPr="00A06912">
              <w:rPr>
                <w:rFonts w:ascii="Candara" w:hAnsi="Candara" w:cs="Calibri"/>
                <w:sz w:val="22"/>
                <w:szCs w:val="22"/>
                <w:lang w:val="fr-FR"/>
              </w:rPr>
              <w:t>Listes de présence des agents enquêteurs à la formation (numéro téléphone et signature)</w:t>
            </w:r>
          </w:p>
          <w:p w14:paraId="5330EB88" w14:textId="77777777" w:rsidR="00D83D48" w:rsidRPr="00A06912" w:rsidRDefault="00D83D48" w:rsidP="00D83D48">
            <w:pPr>
              <w:numPr>
                <w:ilvl w:val="0"/>
                <w:numId w:val="4"/>
              </w:numPr>
              <w:spacing w:line="276" w:lineRule="auto"/>
              <w:jc w:val="both"/>
              <w:rPr>
                <w:rFonts w:ascii="Candara" w:hAnsi="Candara" w:cs="Calibri"/>
                <w:sz w:val="22"/>
                <w:szCs w:val="22"/>
                <w:lang w:val="fr-FR"/>
              </w:rPr>
            </w:pPr>
            <w:r w:rsidRPr="00A06912">
              <w:rPr>
                <w:rFonts w:ascii="Candara" w:hAnsi="Candara" w:cs="Calibri"/>
                <w:sz w:val="22"/>
                <w:szCs w:val="22"/>
                <w:lang w:val="fr-FR"/>
              </w:rPr>
              <w:t>Résultats d’évaluation des agents enquêteurs</w:t>
            </w:r>
          </w:p>
          <w:p w14:paraId="16C8AF4E" w14:textId="77777777" w:rsidR="00D83D48" w:rsidRPr="00A06912" w:rsidRDefault="00D83D48" w:rsidP="00D83D48">
            <w:pPr>
              <w:numPr>
                <w:ilvl w:val="0"/>
                <w:numId w:val="4"/>
              </w:numPr>
              <w:spacing w:line="276" w:lineRule="auto"/>
              <w:jc w:val="both"/>
              <w:rPr>
                <w:rFonts w:ascii="Candara" w:hAnsi="Candara" w:cs="Calibri"/>
                <w:sz w:val="22"/>
                <w:szCs w:val="22"/>
                <w:lang w:val="fr-FR"/>
              </w:rPr>
            </w:pPr>
            <w:r w:rsidRPr="00A06912">
              <w:rPr>
                <w:rFonts w:ascii="Candara" w:hAnsi="Candara" w:cs="Calibri"/>
                <w:sz w:val="22"/>
                <w:szCs w:val="22"/>
                <w:lang w:val="fr-FR"/>
              </w:rPr>
              <w:t>Rapport d’enquête de terrain (rapport préliminaire)</w:t>
            </w:r>
          </w:p>
          <w:p w14:paraId="2BF9F038" w14:textId="77777777" w:rsidR="00D83D48" w:rsidRPr="00A06912" w:rsidRDefault="00D83D48" w:rsidP="00D83D48">
            <w:pPr>
              <w:numPr>
                <w:ilvl w:val="0"/>
                <w:numId w:val="4"/>
              </w:numPr>
              <w:spacing w:line="276" w:lineRule="auto"/>
              <w:jc w:val="both"/>
              <w:rPr>
                <w:rFonts w:ascii="Candara" w:hAnsi="Candara" w:cs="Calibri"/>
                <w:sz w:val="22"/>
                <w:szCs w:val="22"/>
                <w:lang w:val="fr-FR"/>
              </w:rPr>
            </w:pPr>
            <w:r w:rsidRPr="00A06912">
              <w:rPr>
                <w:rFonts w:ascii="Candara" w:hAnsi="Candara" w:cs="Calibri"/>
                <w:sz w:val="22"/>
                <w:szCs w:val="22"/>
                <w:lang w:val="fr-FR"/>
              </w:rPr>
              <w:lastRenderedPageBreak/>
              <w:t xml:space="preserve">Données envoyées vers </w:t>
            </w:r>
            <w:proofErr w:type="spellStart"/>
            <w:r w:rsidRPr="00A06912">
              <w:rPr>
                <w:rFonts w:ascii="Candara" w:hAnsi="Candara" w:cs="Calibri"/>
                <w:sz w:val="22"/>
                <w:szCs w:val="22"/>
                <w:lang w:val="fr-FR"/>
              </w:rPr>
              <w:t>SurveyCTO</w:t>
            </w:r>
            <w:proofErr w:type="spellEnd"/>
          </w:p>
          <w:p w14:paraId="2E81669E" w14:textId="77777777" w:rsidR="00D83D48" w:rsidRPr="00A06912" w:rsidRDefault="00D83D48" w:rsidP="00D83D48">
            <w:pPr>
              <w:numPr>
                <w:ilvl w:val="0"/>
                <w:numId w:val="4"/>
              </w:numPr>
              <w:spacing w:line="276" w:lineRule="auto"/>
              <w:jc w:val="both"/>
              <w:rPr>
                <w:rFonts w:ascii="Candara" w:hAnsi="Candara" w:cs="Calibri"/>
                <w:sz w:val="22"/>
                <w:szCs w:val="22"/>
                <w:lang w:val="fr-FR"/>
              </w:rPr>
            </w:pPr>
            <w:r w:rsidRPr="00A06912">
              <w:rPr>
                <w:rFonts w:ascii="Candara" w:hAnsi="Candara" w:cs="Calibri"/>
                <w:sz w:val="22"/>
                <w:szCs w:val="22"/>
                <w:lang w:val="fr-FR"/>
              </w:rPr>
              <w:t>Rapport final de l’étude</w:t>
            </w:r>
          </w:p>
          <w:p w14:paraId="354A7FCF" w14:textId="0A9231F0" w:rsidR="00D83D48" w:rsidRPr="00A06912" w:rsidRDefault="00D83D48" w:rsidP="00D83D48">
            <w:pPr>
              <w:numPr>
                <w:ilvl w:val="0"/>
                <w:numId w:val="4"/>
              </w:numPr>
              <w:spacing w:line="276" w:lineRule="auto"/>
              <w:jc w:val="both"/>
              <w:rPr>
                <w:rFonts w:ascii="Candara" w:hAnsi="Candara" w:cs="Calibri"/>
                <w:sz w:val="22"/>
                <w:szCs w:val="22"/>
                <w:lang w:val="fr-FR"/>
              </w:rPr>
            </w:pPr>
            <w:r w:rsidRPr="00A06912">
              <w:rPr>
                <w:rFonts w:ascii="Candara" w:hAnsi="Candara" w:cs="Calibri"/>
                <w:sz w:val="22"/>
                <w:szCs w:val="22"/>
                <w:lang w:val="fr-FR"/>
              </w:rPr>
              <w:t>Base de données et programme do</w:t>
            </w:r>
            <w:r w:rsidR="005102D0">
              <w:rPr>
                <w:rFonts w:ascii="Candara" w:hAnsi="Candara" w:cs="Calibri"/>
                <w:sz w:val="22"/>
                <w:szCs w:val="22"/>
                <w:lang w:val="fr-FR"/>
              </w:rPr>
              <w:t xml:space="preserve"> </w:t>
            </w:r>
            <w:r w:rsidRPr="00A06912">
              <w:rPr>
                <w:rFonts w:ascii="Candara" w:hAnsi="Candara" w:cs="Calibri"/>
                <w:sz w:val="22"/>
                <w:szCs w:val="22"/>
                <w:lang w:val="fr-FR"/>
              </w:rPr>
              <w:t>file</w:t>
            </w:r>
          </w:p>
          <w:p w14:paraId="0615FBD3" w14:textId="77777777" w:rsidR="00D83D48" w:rsidRPr="00A06912" w:rsidRDefault="00D83D48" w:rsidP="00D83D48">
            <w:pPr>
              <w:numPr>
                <w:ilvl w:val="0"/>
                <w:numId w:val="4"/>
              </w:numPr>
              <w:spacing w:line="276" w:lineRule="auto"/>
              <w:jc w:val="both"/>
              <w:rPr>
                <w:rFonts w:ascii="Candara" w:hAnsi="Candara" w:cs="Calibri"/>
                <w:sz w:val="22"/>
                <w:szCs w:val="22"/>
                <w:lang w:val="fr-FR"/>
              </w:rPr>
            </w:pPr>
            <w:r w:rsidRPr="00A06912">
              <w:rPr>
                <w:rFonts w:ascii="Candara" w:hAnsi="Candara" w:cs="Calibri"/>
                <w:sz w:val="22"/>
                <w:szCs w:val="22"/>
                <w:lang w:val="fr-FR"/>
              </w:rPr>
              <w:t>Facture définitive</w:t>
            </w:r>
          </w:p>
          <w:p w14:paraId="146A760B" w14:textId="77777777" w:rsidR="00D83D48" w:rsidRPr="00A06912" w:rsidRDefault="00D83D48" w:rsidP="00BD6B1C">
            <w:pPr>
              <w:spacing w:line="276" w:lineRule="auto"/>
              <w:jc w:val="both"/>
              <w:rPr>
                <w:rFonts w:ascii="Candara" w:hAnsi="Candara" w:cs="Calibri"/>
                <w:sz w:val="22"/>
                <w:szCs w:val="22"/>
                <w:lang w:val="fr-FR"/>
              </w:rPr>
            </w:pPr>
          </w:p>
        </w:tc>
        <w:tc>
          <w:tcPr>
            <w:tcW w:w="1276" w:type="dxa"/>
            <w:shd w:val="clear" w:color="auto" w:fill="auto"/>
          </w:tcPr>
          <w:p w14:paraId="533F33CD" w14:textId="77777777" w:rsidR="00D83D48" w:rsidRPr="00A06912" w:rsidRDefault="00D83D48" w:rsidP="00BD6B1C">
            <w:pPr>
              <w:spacing w:line="276" w:lineRule="auto"/>
              <w:jc w:val="both"/>
              <w:rPr>
                <w:rFonts w:ascii="Candara" w:hAnsi="Candara" w:cs="Calibri"/>
                <w:sz w:val="22"/>
                <w:szCs w:val="22"/>
                <w:lang w:val="fr-FR"/>
              </w:rPr>
            </w:pPr>
          </w:p>
          <w:p w14:paraId="3AB314F7" w14:textId="77777777" w:rsidR="00D83D48" w:rsidRPr="00A06912" w:rsidRDefault="00D83D48" w:rsidP="00BD6B1C">
            <w:pPr>
              <w:spacing w:line="276" w:lineRule="auto"/>
              <w:jc w:val="both"/>
              <w:rPr>
                <w:rFonts w:ascii="Candara" w:hAnsi="Candara" w:cs="Calibri"/>
                <w:sz w:val="22"/>
                <w:szCs w:val="22"/>
                <w:lang w:val="fr-FR"/>
              </w:rPr>
            </w:pPr>
          </w:p>
          <w:p w14:paraId="03382B3D" w14:textId="77777777" w:rsidR="00D83D48" w:rsidRPr="00A06912" w:rsidRDefault="00D83D48" w:rsidP="00BD6B1C">
            <w:pPr>
              <w:spacing w:line="276" w:lineRule="auto"/>
              <w:jc w:val="both"/>
              <w:rPr>
                <w:rFonts w:ascii="Candara" w:hAnsi="Candara" w:cs="Calibri"/>
                <w:sz w:val="22"/>
                <w:szCs w:val="22"/>
                <w:lang w:val="fr-FR"/>
              </w:rPr>
            </w:pPr>
            <w:r w:rsidRPr="00A06912">
              <w:rPr>
                <w:rFonts w:ascii="Candara" w:hAnsi="Candara" w:cs="Calibri"/>
                <w:sz w:val="22"/>
                <w:szCs w:val="22"/>
                <w:lang w:val="fr-FR"/>
              </w:rPr>
              <w:t>Oui</w:t>
            </w:r>
          </w:p>
        </w:tc>
      </w:tr>
    </w:tbl>
    <w:p w14:paraId="45190E68" w14:textId="77777777" w:rsidR="00D83D48" w:rsidRPr="00204F05" w:rsidRDefault="00D83D48" w:rsidP="00D83D48">
      <w:pPr>
        <w:spacing w:line="276" w:lineRule="auto"/>
        <w:jc w:val="both"/>
        <w:rPr>
          <w:rFonts w:ascii="Candara" w:hAnsi="Candara" w:cs="Calibri"/>
          <w:sz w:val="24"/>
          <w:szCs w:val="24"/>
          <w:lang w:val="fr-FR"/>
        </w:rPr>
      </w:pPr>
    </w:p>
    <w:p w14:paraId="6D4A749C" w14:textId="77777777" w:rsidR="00D83D48" w:rsidRPr="00A06912" w:rsidRDefault="00D83D48" w:rsidP="00D83D48">
      <w:pPr>
        <w:spacing w:line="276" w:lineRule="auto"/>
        <w:ind w:left="2160" w:hanging="2160"/>
        <w:jc w:val="both"/>
        <w:rPr>
          <w:rFonts w:ascii="Candara" w:hAnsi="Candara" w:cs="Calibri"/>
          <w:sz w:val="22"/>
          <w:szCs w:val="22"/>
          <w:lang w:val="fr-FR"/>
        </w:rPr>
      </w:pPr>
      <w:r w:rsidRPr="00A06912">
        <w:rPr>
          <w:rFonts w:ascii="Candara" w:hAnsi="Candara" w:cs="Calibri"/>
          <w:b/>
          <w:bCs/>
          <w:sz w:val="22"/>
          <w:szCs w:val="22"/>
          <w:lang w:val="fr-FR"/>
        </w:rPr>
        <w:t>Condition de paiement :</w:t>
      </w:r>
      <w:r w:rsidRPr="00A06912">
        <w:rPr>
          <w:rFonts w:ascii="Candara" w:hAnsi="Candara" w:cs="Calibri"/>
          <w:sz w:val="22"/>
          <w:szCs w:val="22"/>
          <w:lang w:val="fr-FR"/>
        </w:rPr>
        <w:tab/>
      </w:r>
    </w:p>
    <w:p w14:paraId="5C6873CA" w14:textId="77777777" w:rsidR="00D83D48" w:rsidRPr="00A06912" w:rsidRDefault="00D83D48" w:rsidP="00D83D48">
      <w:pPr>
        <w:spacing w:line="276" w:lineRule="auto"/>
        <w:jc w:val="both"/>
        <w:rPr>
          <w:rFonts w:ascii="Candara" w:hAnsi="Candara" w:cs="Calibri"/>
          <w:sz w:val="22"/>
          <w:szCs w:val="22"/>
          <w:lang w:val="fr-FR"/>
        </w:rPr>
      </w:pPr>
      <w:r w:rsidRPr="00A06912">
        <w:rPr>
          <w:rFonts w:ascii="Candara" w:hAnsi="Candara" w:cs="Calibri"/>
          <w:sz w:val="22"/>
          <w:szCs w:val="22"/>
          <w:lang w:val="fr-FR"/>
        </w:rPr>
        <w:t>Soumettre une preuve de livraison conformément à la clause 5 de l'annexe 1, accompagnée de l'original complet des pièces justificatives.</w:t>
      </w:r>
    </w:p>
    <w:p w14:paraId="2E2EF49C" w14:textId="77777777" w:rsidR="00D83D48" w:rsidRPr="001B0DCE" w:rsidRDefault="00D83D48" w:rsidP="00D83D48">
      <w:pPr>
        <w:rPr>
          <w:lang w:val="fr-FR"/>
        </w:rPr>
      </w:pPr>
    </w:p>
    <w:p w14:paraId="347145DF" w14:textId="77777777" w:rsidR="00ED0B94" w:rsidRPr="00D83D48" w:rsidRDefault="00ED0B94">
      <w:pPr>
        <w:rPr>
          <w:lang w:val="fr-FR"/>
        </w:rPr>
      </w:pPr>
    </w:p>
    <w:sectPr w:rsidR="00ED0B94" w:rsidRPr="00D83D48" w:rsidSect="00A06912">
      <w:headerReference w:type="default" r:id="rId7"/>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066D" w14:textId="77777777" w:rsidR="00E1596A" w:rsidRDefault="00E1596A" w:rsidP="005030A1">
      <w:r>
        <w:separator/>
      </w:r>
    </w:p>
  </w:endnote>
  <w:endnote w:type="continuationSeparator" w:id="0">
    <w:p w14:paraId="170119CB" w14:textId="77777777" w:rsidR="00E1596A" w:rsidRDefault="00E1596A" w:rsidP="0050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CEA5" w14:textId="77777777" w:rsidR="00E1596A" w:rsidRDefault="00E1596A" w:rsidP="005030A1">
      <w:r>
        <w:separator/>
      </w:r>
    </w:p>
  </w:footnote>
  <w:footnote w:type="continuationSeparator" w:id="0">
    <w:p w14:paraId="261E6CF3" w14:textId="77777777" w:rsidR="00E1596A" w:rsidRDefault="00E1596A" w:rsidP="0050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D5D9" w14:textId="0913AC15" w:rsidR="005030A1" w:rsidRDefault="005030A1">
    <w:pPr>
      <w:pStyle w:val="Header"/>
    </w:pPr>
    <w:r w:rsidRPr="00E66954">
      <w:rPr>
        <w:rFonts w:ascii="Calibri" w:hAnsi="Calibri" w:cs="Arial"/>
        <w:noProof/>
        <w:lang w:val="en-GB" w:eastAsia="en-GB"/>
      </w:rPr>
      <w:drawing>
        <wp:anchor distT="0" distB="0" distL="114300" distR="114300" simplePos="0" relativeHeight="251659264" behindDoc="0" locked="0" layoutInCell="1" allowOverlap="1" wp14:anchorId="52BD4931" wp14:editId="3D319608">
          <wp:simplePos x="0" y="0"/>
          <wp:positionH relativeFrom="margin">
            <wp:posOffset>1727200</wp:posOffset>
          </wp:positionH>
          <wp:positionV relativeFrom="paragraph">
            <wp:posOffset>-337185</wp:posOffset>
          </wp:positionV>
          <wp:extent cx="2385060" cy="65532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5060" cy="655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DE3"/>
    <w:multiLevelType w:val="hybridMultilevel"/>
    <w:tmpl w:val="10E8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757EC"/>
    <w:multiLevelType w:val="hybridMultilevel"/>
    <w:tmpl w:val="877059A2"/>
    <w:lvl w:ilvl="0" w:tplc="157A2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33F"/>
    <w:multiLevelType w:val="hybridMultilevel"/>
    <w:tmpl w:val="BEBCB49E"/>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066D72"/>
    <w:multiLevelType w:val="hybridMultilevel"/>
    <w:tmpl w:val="03B22DF4"/>
    <w:lvl w:ilvl="0" w:tplc="157A2F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881A9A"/>
    <w:multiLevelType w:val="hybridMultilevel"/>
    <w:tmpl w:val="5B5A0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2D10BC"/>
    <w:multiLevelType w:val="hybridMultilevel"/>
    <w:tmpl w:val="5C06B2DC"/>
    <w:lvl w:ilvl="0" w:tplc="157A2F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FC5601"/>
    <w:multiLevelType w:val="hybridMultilevel"/>
    <w:tmpl w:val="9E38779C"/>
    <w:lvl w:ilvl="0" w:tplc="34E233CA">
      <w:start w:val="1"/>
      <w:numFmt w:val="decimal"/>
      <w:pStyle w:val="ListParagraph"/>
      <w:lvlText w:val="%1."/>
      <w:lvlJc w:val="left"/>
      <w:pPr>
        <w:ind w:left="960" w:hanging="360"/>
      </w:pPr>
      <w:rPr>
        <w:rFonts w:hint="default"/>
        <w:b/>
      </w:rPr>
    </w:lvl>
    <w:lvl w:ilvl="1" w:tplc="3B1C0EFC">
      <w:start w:val="1"/>
      <w:numFmt w:val="lowerLetter"/>
      <w:lvlText w:val="%2."/>
      <w:lvlJc w:val="left"/>
      <w:pPr>
        <w:ind w:left="1230" w:hanging="360"/>
      </w:pPr>
      <w:rPr>
        <w:b/>
      </w:rPr>
    </w:lvl>
    <w:lvl w:ilvl="2" w:tplc="0809001B">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7" w15:restartNumberingAfterBreak="0">
    <w:nsid w:val="7D352B3D"/>
    <w:multiLevelType w:val="hybridMultilevel"/>
    <w:tmpl w:val="04D0F5AC"/>
    <w:lvl w:ilvl="0" w:tplc="157A2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716594">
    <w:abstractNumId w:val="6"/>
  </w:num>
  <w:num w:numId="2" w16cid:durableId="381683673">
    <w:abstractNumId w:val="0"/>
  </w:num>
  <w:num w:numId="3" w16cid:durableId="1675760744">
    <w:abstractNumId w:val="2"/>
  </w:num>
  <w:num w:numId="4" w16cid:durableId="395670656">
    <w:abstractNumId w:val="4"/>
  </w:num>
  <w:num w:numId="5" w16cid:durableId="424500388">
    <w:abstractNumId w:val="5"/>
  </w:num>
  <w:num w:numId="6" w16cid:durableId="476919943">
    <w:abstractNumId w:val="3"/>
  </w:num>
  <w:num w:numId="7" w16cid:durableId="275909662">
    <w:abstractNumId w:val="1"/>
  </w:num>
  <w:num w:numId="8" w16cid:durableId="1864973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48"/>
    <w:rsid w:val="00014DB2"/>
    <w:rsid w:val="00054F81"/>
    <w:rsid w:val="00166021"/>
    <w:rsid w:val="00257D0C"/>
    <w:rsid w:val="002C4DDC"/>
    <w:rsid w:val="004912FC"/>
    <w:rsid w:val="004F26D8"/>
    <w:rsid w:val="005030A1"/>
    <w:rsid w:val="005102D0"/>
    <w:rsid w:val="00526445"/>
    <w:rsid w:val="005D64A2"/>
    <w:rsid w:val="005D7990"/>
    <w:rsid w:val="006D2505"/>
    <w:rsid w:val="00704A1C"/>
    <w:rsid w:val="00791960"/>
    <w:rsid w:val="007D04A6"/>
    <w:rsid w:val="00901017"/>
    <w:rsid w:val="00902D58"/>
    <w:rsid w:val="00A06912"/>
    <w:rsid w:val="00A741B8"/>
    <w:rsid w:val="00AA749A"/>
    <w:rsid w:val="00B82441"/>
    <w:rsid w:val="00BC6FE6"/>
    <w:rsid w:val="00BD6B1C"/>
    <w:rsid w:val="00C32371"/>
    <w:rsid w:val="00CB31D5"/>
    <w:rsid w:val="00CC1BEB"/>
    <w:rsid w:val="00CC2AAF"/>
    <w:rsid w:val="00CF7BC7"/>
    <w:rsid w:val="00D578B7"/>
    <w:rsid w:val="00D83D48"/>
    <w:rsid w:val="00D9157C"/>
    <w:rsid w:val="00D91C5F"/>
    <w:rsid w:val="00DB4142"/>
    <w:rsid w:val="00E1596A"/>
    <w:rsid w:val="00E21C8C"/>
    <w:rsid w:val="00E33469"/>
    <w:rsid w:val="00E74A74"/>
    <w:rsid w:val="00E90A2B"/>
    <w:rsid w:val="00EA41C3"/>
    <w:rsid w:val="00ED0B94"/>
    <w:rsid w:val="00F544E6"/>
    <w:rsid w:val="00F552CE"/>
    <w:rsid w:val="00F55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3788"/>
  <w15:chartTrackingRefBased/>
  <w15:docId w15:val="{F1069765-F154-473B-8FEA-0C2A9E07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48"/>
    <w:pPr>
      <w:widowControl w:val="0"/>
      <w:spacing w:after="0" w:line="240" w:lineRule="auto"/>
    </w:pPr>
    <w:rPr>
      <w:rFonts w:ascii="Courier New" w:eastAsia="Times New Roman" w:hAnsi="Courier Ne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D83D48"/>
    <w:pPr>
      <w:widowControl/>
      <w:numPr>
        <w:numId w:val="1"/>
      </w:numPr>
      <w:spacing w:after="200" w:line="276" w:lineRule="auto"/>
      <w:jc w:val="both"/>
    </w:pPr>
    <w:rPr>
      <w:rFonts w:ascii="Garamond" w:hAnsi="Garamond" w:cs="Arial"/>
      <w:color w:val="0D0D0D"/>
      <w:sz w:val="24"/>
      <w:szCs w:val="24"/>
      <w:lang w:val="fr-FR"/>
    </w:rPr>
  </w:style>
  <w:style w:type="character" w:customStyle="1" w:styleId="ListParagraphChar">
    <w:name w:val="List Paragraph Char"/>
    <w:link w:val="ListParagraph"/>
    <w:uiPriority w:val="34"/>
    <w:locked/>
    <w:rsid w:val="00D83D48"/>
    <w:rPr>
      <w:rFonts w:ascii="Garamond" w:eastAsia="Times New Roman" w:hAnsi="Garamond" w:cs="Arial"/>
      <w:color w:val="0D0D0D"/>
      <w:sz w:val="24"/>
      <w:szCs w:val="24"/>
    </w:rPr>
  </w:style>
  <w:style w:type="paragraph" w:customStyle="1" w:styleId="Default">
    <w:name w:val="Default"/>
    <w:rsid w:val="00D83D48"/>
    <w:pPr>
      <w:autoSpaceDE w:val="0"/>
      <w:autoSpaceDN w:val="0"/>
      <w:adjustRightInd w:val="0"/>
      <w:spacing w:after="0" w:line="240" w:lineRule="auto"/>
    </w:pPr>
    <w:rPr>
      <w:rFonts w:ascii="Calibri" w:eastAsia="Calibri" w:hAnsi="Calibri" w:cs="Calibri"/>
      <w:color w:val="000000"/>
      <w:sz w:val="24"/>
      <w:szCs w:val="24"/>
      <w:lang w:val="en-GB"/>
    </w:rPr>
  </w:style>
  <w:style w:type="paragraph" w:styleId="BodyText">
    <w:name w:val="Body Text"/>
    <w:basedOn w:val="Normal"/>
    <w:link w:val="BodyTextChar"/>
    <w:uiPriority w:val="99"/>
    <w:rsid w:val="00F553FA"/>
    <w:pPr>
      <w:widowControl/>
      <w:overflowPunct w:val="0"/>
      <w:autoSpaceDE w:val="0"/>
      <w:autoSpaceDN w:val="0"/>
      <w:adjustRightInd w:val="0"/>
      <w:jc w:val="both"/>
      <w:textAlignment w:val="baseline"/>
    </w:pPr>
    <w:rPr>
      <w:rFonts w:ascii="Times New Roman" w:eastAsia="Calibri" w:hAnsi="Times New Roman" w:cs="Calibri"/>
      <w:color w:val="FF0000"/>
      <w:sz w:val="24"/>
      <w:szCs w:val="22"/>
    </w:rPr>
  </w:style>
  <w:style w:type="character" w:customStyle="1" w:styleId="BodyTextChar">
    <w:name w:val="Body Text Char"/>
    <w:basedOn w:val="DefaultParagraphFont"/>
    <w:link w:val="BodyText"/>
    <w:uiPriority w:val="99"/>
    <w:rsid w:val="00F553FA"/>
    <w:rPr>
      <w:rFonts w:ascii="Times New Roman" w:eastAsia="Calibri" w:hAnsi="Times New Roman" w:cs="Calibri"/>
      <w:color w:val="FF0000"/>
      <w:sz w:val="24"/>
      <w:lang w:val="en-US"/>
    </w:rPr>
  </w:style>
  <w:style w:type="paragraph" w:styleId="Header">
    <w:name w:val="header"/>
    <w:basedOn w:val="Normal"/>
    <w:link w:val="HeaderChar"/>
    <w:uiPriority w:val="99"/>
    <w:unhideWhenUsed/>
    <w:rsid w:val="005030A1"/>
    <w:pPr>
      <w:tabs>
        <w:tab w:val="center" w:pos="4536"/>
        <w:tab w:val="right" w:pos="9072"/>
      </w:tabs>
    </w:pPr>
  </w:style>
  <w:style w:type="character" w:customStyle="1" w:styleId="HeaderChar">
    <w:name w:val="Header Char"/>
    <w:basedOn w:val="DefaultParagraphFont"/>
    <w:link w:val="Header"/>
    <w:uiPriority w:val="99"/>
    <w:rsid w:val="005030A1"/>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5030A1"/>
    <w:pPr>
      <w:tabs>
        <w:tab w:val="center" w:pos="4536"/>
        <w:tab w:val="right" w:pos="9072"/>
      </w:tabs>
    </w:pPr>
  </w:style>
  <w:style w:type="character" w:customStyle="1" w:styleId="FooterChar">
    <w:name w:val="Footer Char"/>
    <w:basedOn w:val="DefaultParagraphFont"/>
    <w:link w:val="Footer"/>
    <w:uiPriority w:val="99"/>
    <w:rsid w:val="005030A1"/>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53397">
      <w:bodyDiv w:val="1"/>
      <w:marLeft w:val="0"/>
      <w:marRight w:val="0"/>
      <w:marTop w:val="0"/>
      <w:marBottom w:val="0"/>
      <w:divBdr>
        <w:top w:val="none" w:sz="0" w:space="0" w:color="auto"/>
        <w:left w:val="none" w:sz="0" w:space="0" w:color="auto"/>
        <w:bottom w:val="none" w:sz="0" w:space="0" w:color="auto"/>
        <w:right w:val="none" w:sz="0" w:space="0" w:color="auto"/>
      </w:divBdr>
    </w:div>
    <w:div w:id="1666281255">
      <w:bodyDiv w:val="1"/>
      <w:marLeft w:val="0"/>
      <w:marRight w:val="0"/>
      <w:marTop w:val="0"/>
      <w:marBottom w:val="0"/>
      <w:divBdr>
        <w:top w:val="none" w:sz="0" w:space="0" w:color="auto"/>
        <w:left w:val="none" w:sz="0" w:space="0" w:color="auto"/>
        <w:bottom w:val="none" w:sz="0" w:space="0" w:color="auto"/>
        <w:right w:val="none" w:sz="0" w:space="0" w:color="auto"/>
      </w:divBdr>
    </w:div>
    <w:div w:id="17150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Mbaindiguissem Djegol</dc:creator>
  <cp:keywords/>
  <dc:description/>
  <cp:lastModifiedBy>Mbaindiguissem Djegol</cp:lastModifiedBy>
  <cp:revision>2</cp:revision>
  <dcterms:created xsi:type="dcterms:W3CDTF">2022-05-14T09:10:00Z</dcterms:created>
  <dcterms:modified xsi:type="dcterms:W3CDTF">2022-05-14T09:10:00Z</dcterms:modified>
</cp:coreProperties>
</file>