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0027" w14:textId="77777777" w:rsidR="00D72843" w:rsidRPr="00D72843" w:rsidRDefault="00D72843" w:rsidP="00D72843">
      <w:pPr>
        <w:spacing w:after="0" w:line="240" w:lineRule="auto"/>
        <w:rPr>
          <w:rFonts w:ascii="Calibri" w:eastAsia="Times New Roman" w:hAnsi="Calibri" w:cs="Calibri"/>
          <w:noProof/>
          <w:spacing w:val="-5"/>
          <w:lang w:val="en-GB"/>
        </w:rPr>
      </w:pPr>
      <w:r w:rsidRPr="00D72843">
        <w:rPr>
          <w:rFonts w:ascii="Calibri" w:eastAsia="Times New Roman" w:hAnsi="Calibri" w:cs="Calibri"/>
          <w:noProof/>
          <w:spacing w:val="-5"/>
          <w:lang w:val="en-GB" w:eastAsia="en-GB"/>
        </w:rPr>
        <mc:AlternateContent>
          <mc:Choice Requires="wps">
            <w:drawing>
              <wp:anchor distT="45720" distB="45720" distL="114300" distR="114300" simplePos="0" relativeHeight="251659264" behindDoc="0" locked="0" layoutInCell="1" allowOverlap="1" wp14:anchorId="72338D39" wp14:editId="3EBDAA49">
                <wp:simplePos x="0" y="0"/>
                <wp:positionH relativeFrom="column">
                  <wp:posOffset>4614545</wp:posOffset>
                </wp:positionH>
                <wp:positionV relativeFrom="paragraph">
                  <wp:posOffset>32385</wp:posOffset>
                </wp:positionV>
                <wp:extent cx="1577975" cy="262255"/>
                <wp:effectExtent l="1270"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32A02" w14:textId="4A6E9626" w:rsidR="006B388A" w:rsidRPr="002F519E" w:rsidRDefault="000271F3" w:rsidP="00D72843">
                            <w:pPr>
                              <w:rPr>
                                <w:rFonts w:ascii="Calibri" w:hAnsi="Calibri"/>
                                <w:b/>
                                <w:bCs/>
                                <w:caps/>
                              </w:rPr>
                            </w:pPr>
                            <w:r>
                              <w:rPr>
                                <w:rFonts w:ascii="Calibri" w:hAnsi="Calibri"/>
                                <w:b/>
                                <w:bCs/>
                                <w:caps/>
                              </w:rPr>
                              <w:t>16</w:t>
                            </w:r>
                            <w:r w:rsidR="006B388A">
                              <w:rPr>
                                <w:rFonts w:ascii="Calibri" w:hAnsi="Calibri"/>
                                <w:b/>
                                <w:bCs/>
                                <w:caps/>
                              </w:rPr>
                              <w:t xml:space="preserve"> Ma</w:t>
                            </w:r>
                            <w:r>
                              <w:rPr>
                                <w:rFonts w:ascii="Calibri" w:hAnsi="Calibri"/>
                                <w:b/>
                                <w:bCs/>
                                <w:caps/>
                              </w:rPr>
                              <w:t>I</w:t>
                            </w:r>
                            <w:r w:rsidR="006B388A">
                              <w:rPr>
                                <w:rFonts w:ascii="Calibri" w:hAnsi="Calibri"/>
                                <w:b/>
                                <w:bCs/>
                                <w:caps/>
                              </w:rPr>
                              <w:t xml:space="preserve"> 202</w:t>
                            </w:r>
                            <w:r w:rsidR="005D7378">
                              <w:rPr>
                                <w:rFonts w:ascii="Calibri" w:hAnsi="Calibri"/>
                                <w:b/>
                                <w:bCs/>
                                <w:caps/>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338D39" id="_x0000_t202" coordsize="21600,21600" o:spt="202" path="m,l,21600r21600,l21600,xe">
                <v:stroke joinstyle="miter"/>
                <v:path gradientshapeok="t" o:connecttype="rect"/>
              </v:shapetype>
              <v:shape id="Text Box 2" o:spid="_x0000_s1026" type="#_x0000_t202" style="position:absolute;margin-left:363.35pt;margin-top:2.55pt;width:124.25pt;height:20.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" filled="f" stroked="f">
                <v:textbox style="mso-fit-shape-to-text:t">
                  <w:txbxContent>
                    <w:p w14:paraId="1D032A02" w14:textId="4A6E9626" w:rsidR="006B388A" w:rsidRPr="002F519E" w:rsidRDefault="000271F3" w:rsidP="00D72843">
                      <w:pPr>
                        <w:rPr>
                          <w:rFonts w:ascii="Calibri" w:hAnsi="Calibri"/>
                          <w:b/>
                          <w:bCs/>
                          <w:caps/>
                        </w:rPr>
                      </w:pPr>
                      <w:r>
                        <w:rPr>
                          <w:rFonts w:ascii="Calibri" w:hAnsi="Calibri"/>
                          <w:b/>
                          <w:bCs/>
                          <w:caps/>
                        </w:rPr>
                        <w:t>16</w:t>
                      </w:r>
                      <w:r w:rsidR="006B388A">
                        <w:rPr>
                          <w:rFonts w:ascii="Calibri" w:hAnsi="Calibri"/>
                          <w:b/>
                          <w:bCs/>
                          <w:caps/>
                        </w:rPr>
                        <w:t xml:space="preserve"> Ma</w:t>
                      </w:r>
                      <w:r>
                        <w:rPr>
                          <w:rFonts w:ascii="Calibri" w:hAnsi="Calibri"/>
                          <w:b/>
                          <w:bCs/>
                          <w:caps/>
                        </w:rPr>
                        <w:t>I</w:t>
                      </w:r>
                      <w:r w:rsidR="006B388A">
                        <w:rPr>
                          <w:rFonts w:ascii="Calibri" w:hAnsi="Calibri"/>
                          <w:b/>
                          <w:bCs/>
                          <w:caps/>
                        </w:rPr>
                        <w:t xml:space="preserve"> 202</w:t>
                      </w:r>
                      <w:r w:rsidR="005D7378">
                        <w:rPr>
                          <w:rFonts w:ascii="Calibri" w:hAnsi="Calibri"/>
                          <w:b/>
                          <w:bCs/>
                          <w:caps/>
                        </w:rPr>
                        <w:t>2</w:t>
                      </w:r>
                    </w:p>
                  </w:txbxContent>
                </v:textbox>
                <w10:wrap type="square"/>
              </v:shape>
            </w:pict>
          </mc:Fallback>
        </mc:AlternateContent>
      </w:r>
      <w:r w:rsidRPr="00D72843">
        <w:rPr>
          <w:rFonts w:ascii="Calibri" w:eastAsia="Times New Roman" w:hAnsi="Calibri" w:cs="Calibri"/>
          <w:noProof/>
          <w:spacing w:val="-5"/>
          <w:lang w:val="en-GB" w:eastAsia="en-GB"/>
        </w:rPr>
        <w:drawing>
          <wp:inline distT="0" distB="0" distL="0" distR="0" wp14:anchorId="0D3A7FA0" wp14:editId="183ECD15">
            <wp:extent cx="2066925"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981075"/>
                    </a:xfrm>
                    <a:prstGeom prst="rect">
                      <a:avLst/>
                    </a:prstGeom>
                    <a:noFill/>
                    <a:ln>
                      <a:noFill/>
                    </a:ln>
                  </pic:spPr>
                </pic:pic>
              </a:graphicData>
            </a:graphic>
          </wp:inline>
        </w:drawing>
      </w:r>
    </w:p>
    <w:p w14:paraId="3B8A872A" w14:textId="77777777" w:rsidR="00D72843" w:rsidRPr="00D72843" w:rsidRDefault="00D72843" w:rsidP="00422E8A">
      <w:pPr>
        <w:spacing w:after="0" w:line="240" w:lineRule="auto"/>
        <w:rPr>
          <w:rFonts w:ascii="Calibri" w:eastAsia="Times New Roman" w:hAnsi="Calibri" w:cs="Calibri"/>
          <w:b/>
          <w:bCs/>
          <w:caps/>
          <w:spacing w:val="-5"/>
          <w:lang w:val="en-GB"/>
        </w:rPr>
      </w:pPr>
    </w:p>
    <w:p w14:paraId="3E7052AB" w14:textId="77777777" w:rsidR="009B31F0" w:rsidRPr="00C40FF2" w:rsidRDefault="009B31F0" w:rsidP="009B31F0">
      <w:pPr>
        <w:jc w:val="center"/>
        <w:rPr>
          <w:rFonts w:cstheme="minorHAnsi"/>
          <w:b/>
          <w:bCs/>
          <w:caps/>
          <w:lang w:val="fr-FR"/>
        </w:rPr>
      </w:pPr>
      <w:r w:rsidRPr="00C40FF2">
        <w:rPr>
          <w:rFonts w:cstheme="minorHAnsi"/>
          <w:b/>
          <w:bCs/>
          <w:caps/>
          <w:lang w:val="fr-FR"/>
        </w:rPr>
        <w:t>MALARIA CONSORTIUM</w:t>
      </w:r>
    </w:p>
    <w:p w14:paraId="76203951" w14:textId="77777777" w:rsidR="009B31F0" w:rsidRPr="00C40FF2" w:rsidRDefault="009B31F0" w:rsidP="009B31F0">
      <w:pPr>
        <w:ind w:left="720"/>
        <w:jc w:val="both"/>
        <w:rPr>
          <w:rFonts w:cstheme="minorHAnsi"/>
          <w:b/>
          <w:bCs/>
          <w:caps/>
          <w:lang w:val="fr-FR"/>
        </w:rPr>
      </w:pPr>
    </w:p>
    <w:p w14:paraId="7FE2A629" w14:textId="20616B9B" w:rsidR="00D72843" w:rsidRPr="009B31F0" w:rsidRDefault="009B31F0" w:rsidP="009B31F0">
      <w:pPr>
        <w:jc w:val="center"/>
        <w:rPr>
          <w:rFonts w:cstheme="minorHAnsi"/>
          <w:color w:val="000000"/>
          <w:lang w:val="fr-FR"/>
        </w:rPr>
      </w:pPr>
      <w:r w:rsidRPr="00C40FF2">
        <w:rPr>
          <w:rFonts w:cstheme="minorHAnsi"/>
          <w:b/>
          <w:bCs/>
          <w:caps/>
          <w:color w:val="000000"/>
          <w:lang w:val="fr-FR"/>
        </w:rPr>
        <w:t xml:space="preserve">DEMANDE DE PROPOSITIONS (DP) POUR L’EXÉCUTION De l’ENQUÊTE </w:t>
      </w:r>
      <w:r>
        <w:rPr>
          <w:rFonts w:cstheme="minorHAnsi"/>
          <w:b/>
          <w:bCs/>
          <w:caps/>
          <w:color w:val="000000"/>
          <w:lang w:val="fr-FR"/>
        </w:rPr>
        <w:t>quantitative(</w:t>
      </w:r>
      <w:proofErr w:type="gramStart"/>
      <w:r>
        <w:rPr>
          <w:rFonts w:cstheme="minorHAnsi"/>
          <w:b/>
          <w:bCs/>
          <w:caps/>
          <w:color w:val="000000"/>
          <w:lang w:val="fr-FR"/>
        </w:rPr>
        <w:t>lqas)</w:t>
      </w:r>
      <w:r w:rsidRPr="00C40FF2">
        <w:rPr>
          <w:rFonts w:cstheme="minorHAnsi"/>
          <w:b/>
          <w:bCs/>
          <w:caps/>
          <w:color w:val="000000"/>
          <w:lang w:val="fr-FR"/>
        </w:rPr>
        <w:t xml:space="preserve"> </w:t>
      </w:r>
      <w:r>
        <w:rPr>
          <w:rFonts w:cstheme="minorHAnsi"/>
          <w:b/>
          <w:bCs/>
          <w:caps/>
          <w:color w:val="000000"/>
          <w:lang w:val="fr-FR"/>
        </w:rPr>
        <w:t xml:space="preserve"> et</w:t>
      </w:r>
      <w:proofErr w:type="gramEnd"/>
      <w:r>
        <w:rPr>
          <w:rFonts w:cstheme="minorHAnsi"/>
          <w:b/>
          <w:bCs/>
          <w:caps/>
          <w:color w:val="000000"/>
          <w:lang w:val="fr-FR"/>
        </w:rPr>
        <w:t xml:space="preserve"> L’ENQUETE DE couverture </w:t>
      </w:r>
      <w:r w:rsidRPr="00C40FF2">
        <w:rPr>
          <w:rFonts w:cstheme="minorHAnsi"/>
          <w:b/>
          <w:bCs/>
          <w:caps/>
          <w:color w:val="000000"/>
          <w:lang w:val="fr-FR"/>
        </w:rPr>
        <w:t>de la campagne de CHIMIO PRÉVENTION PALUDISME SAISONNIER (CPS)</w:t>
      </w:r>
    </w:p>
    <w:p w14:paraId="13B6D075" w14:textId="77777777" w:rsidR="009B31F0" w:rsidRPr="009B31F0" w:rsidRDefault="00D72843" w:rsidP="009B31F0">
      <w:pPr>
        <w:jc w:val="center"/>
        <w:rPr>
          <w:rFonts w:cstheme="minorHAnsi"/>
          <w:color w:val="000000"/>
          <w:sz w:val="24"/>
        </w:rPr>
      </w:pPr>
      <w:proofErr w:type="gramStart"/>
      <w:r w:rsidRPr="009B31F0">
        <w:rPr>
          <w:rFonts w:ascii="Calibri" w:eastAsia="Times New Roman" w:hAnsi="Calibri" w:cs="Calibri"/>
          <w:b/>
          <w:bCs/>
          <w:caps/>
          <w:spacing w:val="-5"/>
        </w:rPr>
        <w:t>REF :</w:t>
      </w:r>
      <w:proofErr w:type="gramEnd"/>
      <w:r w:rsidRPr="009B31F0">
        <w:rPr>
          <w:rFonts w:ascii="Calibri" w:eastAsia="Times New Roman" w:hAnsi="Calibri" w:cs="Calibri"/>
          <w:b/>
          <w:bCs/>
          <w:caps/>
          <w:spacing w:val="-5"/>
        </w:rPr>
        <w:t xml:space="preserve"> </w:t>
      </w:r>
      <w:r w:rsidR="009B31F0" w:rsidRPr="009B31F0">
        <w:rPr>
          <w:rFonts w:cstheme="minorHAnsi"/>
          <w:b/>
          <w:bCs/>
          <w:caps/>
          <w:color w:val="000000"/>
          <w:sz w:val="24"/>
        </w:rPr>
        <w:t>TD/MC-LQAS1&amp;SURVEY 004</w:t>
      </w:r>
    </w:p>
    <w:p w14:paraId="350D63D0" w14:textId="5DD90AE0" w:rsidR="00D72843" w:rsidRPr="009B31F0" w:rsidRDefault="00D72843" w:rsidP="009B31F0">
      <w:pPr>
        <w:pBdr>
          <w:bottom w:val="single" w:sz="4" w:space="1" w:color="auto"/>
        </w:pBdr>
        <w:spacing w:after="0" w:line="240" w:lineRule="auto"/>
        <w:rPr>
          <w:rFonts w:ascii="Calibri" w:eastAsia="Times New Roman" w:hAnsi="Calibri" w:cs="Calibri"/>
          <w:b/>
          <w:bCs/>
          <w:caps/>
          <w:spacing w:val="-5"/>
        </w:rPr>
      </w:pPr>
    </w:p>
    <w:p w14:paraId="67EADEAD" w14:textId="77777777" w:rsidR="00D72843" w:rsidRPr="009B31F0" w:rsidRDefault="00D72843" w:rsidP="00D72843">
      <w:pPr>
        <w:spacing w:after="0" w:line="240" w:lineRule="auto"/>
        <w:rPr>
          <w:rFonts w:ascii="Calibri" w:eastAsia="Times New Roman" w:hAnsi="Calibri" w:cs="Calibri"/>
          <w:b/>
          <w:spacing w:val="-5"/>
        </w:rPr>
      </w:pPr>
    </w:p>
    <w:p w14:paraId="386D839E" w14:textId="77777777" w:rsidR="00D72843" w:rsidRPr="00D72843" w:rsidRDefault="00D72843" w:rsidP="00D72843">
      <w:pPr>
        <w:autoSpaceDE w:val="0"/>
        <w:autoSpaceDN w:val="0"/>
        <w:spacing w:after="0" w:line="240" w:lineRule="auto"/>
        <w:ind w:left="1080"/>
        <w:rPr>
          <w:rFonts w:ascii="Calibri" w:eastAsia="Times New Roman" w:hAnsi="Calibri" w:cs="Calibri"/>
          <w:b/>
          <w:spacing w:val="-5"/>
          <w:lang w:val="fr-FR"/>
        </w:rPr>
      </w:pPr>
      <w:r w:rsidRPr="00D72843">
        <w:rPr>
          <w:rFonts w:ascii="Calibri" w:eastAsia="Times New Roman" w:hAnsi="Calibri" w:cs="Calibri"/>
          <w:b/>
          <w:spacing w:val="-5"/>
          <w:lang w:val="fr-FR"/>
        </w:rPr>
        <w:t xml:space="preserve">CARACTÉRISTIQUES ET INSTRUCTIONS AUX SOUMISSIONNAIRES </w:t>
      </w:r>
    </w:p>
    <w:p w14:paraId="5C5F0609" w14:textId="77777777" w:rsidR="00D72843" w:rsidRPr="00D72843" w:rsidRDefault="00D72843" w:rsidP="00D72843">
      <w:pPr>
        <w:autoSpaceDE w:val="0"/>
        <w:autoSpaceDN w:val="0"/>
        <w:spacing w:after="0" w:line="240" w:lineRule="auto"/>
        <w:ind w:left="1080"/>
        <w:rPr>
          <w:rFonts w:ascii="Calibri" w:eastAsia="Times New Roman" w:hAnsi="Calibri" w:cs="Calibri"/>
          <w:spacing w:val="-5"/>
          <w:lang w:val="fr-FR"/>
        </w:rPr>
      </w:pPr>
    </w:p>
    <w:p w14:paraId="4477659B" w14:textId="53FCA870" w:rsidR="00D72843" w:rsidRPr="007F7A2C" w:rsidRDefault="005475AC" w:rsidP="00D72843">
      <w:pPr>
        <w:keepNext/>
        <w:tabs>
          <w:tab w:val="left" w:pos="426"/>
        </w:tabs>
        <w:spacing w:after="0" w:line="240" w:lineRule="auto"/>
        <w:ind w:left="426" w:hanging="426"/>
        <w:outlineLvl w:val="3"/>
        <w:rPr>
          <w:rFonts w:ascii="Calibri" w:eastAsia="Times New Roman" w:hAnsi="Calibri" w:cs="Calibri"/>
          <w:b/>
          <w:spacing w:val="-5"/>
          <w:u w:val="single"/>
          <w:lang w:val="fr-FR"/>
        </w:rPr>
      </w:pPr>
      <w:r>
        <w:rPr>
          <w:rFonts w:ascii="Calibri" w:eastAsia="Times New Roman" w:hAnsi="Calibri" w:cs="Calibri"/>
          <w:b/>
          <w:spacing w:val="-5"/>
          <w:u w:val="single"/>
          <w:lang w:val="fr-FR"/>
        </w:rPr>
        <w:tab/>
      </w:r>
      <w:r w:rsidR="00D72843" w:rsidRPr="007F7A2C">
        <w:rPr>
          <w:rFonts w:ascii="Calibri" w:eastAsia="Times New Roman" w:hAnsi="Calibri" w:cs="Calibri"/>
          <w:b/>
          <w:spacing w:val="-5"/>
          <w:u w:val="single"/>
          <w:lang w:val="fr-FR"/>
        </w:rPr>
        <w:t xml:space="preserve">A. </w:t>
      </w:r>
      <w:r w:rsidR="00D72843" w:rsidRPr="007F7A2C">
        <w:rPr>
          <w:rFonts w:ascii="Calibri" w:eastAsia="Times New Roman" w:hAnsi="Calibri" w:cs="Calibri"/>
          <w:b/>
          <w:bCs/>
          <w:spacing w:val="-5"/>
          <w:u w:val="single"/>
          <w:lang w:val="fr-FR"/>
        </w:rPr>
        <w:t>Malaria Consortium</w:t>
      </w:r>
    </w:p>
    <w:p w14:paraId="3381B916" w14:textId="77777777" w:rsidR="00D72843" w:rsidRPr="00D72843" w:rsidRDefault="00D72843" w:rsidP="00D72843">
      <w:pPr>
        <w:spacing w:after="0" w:line="240" w:lineRule="auto"/>
        <w:ind w:left="1080"/>
        <w:rPr>
          <w:rFonts w:ascii="Calibri" w:eastAsia="Times New Roman" w:hAnsi="Calibri" w:cs="Calibri"/>
          <w:spacing w:val="-5"/>
          <w:lang w:val="fr-FR"/>
        </w:rPr>
      </w:pPr>
    </w:p>
    <w:p w14:paraId="12A6494D" w14:textId="77777777" w:rsidR="00D72843" w:rsidRPr="00D72843" w:rsidRDefault="00D72843" w:rsidP="00D72843">
      <w:pPr>
        <w:spacing w:after="0" w:line="240" w:lineRule="auto"/>
        <w:jc w:val="both"/>
        <w:rPr>
          <w:rFonts w:ascii="Calibri" w:eastAsia="Calibri" w:hAnsi="Calibri" w:cs="Calibri"/>
          <w:lang w:val="fr-FR"/>
        </w:rPr>
      </w:pPr>
      <w:r w:rsidRPr="00D72843">
        <w:rPr>
          <w:rFonts w:ascii="Calibri" w:eastAsia="Times New Roman" w:hAnsi="Calibri" w:cs="Calibri"/>
          <w:spacing w:val="-5"/>
          <w:lang w:val="fr-FR"/>
        </w:rPr>
        <w:t>Malaria Consortium</w:t>
      </w:r>
      <w:r w:rsidRPr="00D72843">
        <w:rPr>
          <w:rFonts w:ascii="Calibri" w:eastAsia="Times New Roman" w:hAnsi="Calibri" w:cs="Calibri"/>
          <w:b/>
          <w:spacing w:val="-5"/>
          <w:lang w:val="fr-FR"/>
        </w:rPr>
        <w:t xml:space="preserve"> </w:t>
      </w:r>
      <w:r w:rsidRPr="00D72843">
        <w:rPr>
          <w:rFonts w:ascii="Calibri" w:eastAsia="Times New Roman" w:hAnsi="Calibri" w:cs="Calibri"/>
          <w:spacing w:val="-5"/>
          <w:lang w:val="fr-FR"/>
        </w:rPr>
        <w:t xml:space="preserve">est l'une des principales organisations mondiales à but non lucratif consacrées à la lutte contre le paludisme et autres maladies contagieuses en Afrique et au Sud-Est de l’Asie.  </w:t>
      </w:r>
    </w:p>
    <w:p w14:paraId="1056CD51"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Malaria Consortium</w:t>
      </w:r>
      <w:r w:rsidRPr="00D72843">
        <w:rPr>
          <w:rFonts w:ascii="Calibri" w:eastAsia="Times New Roman" w:hAnsi="Calibri" w:cs="Calibri"/>
          <w:b/>
          <w:spacing w:val="-5"/>
          <w:lang w:val="fr-FR"/>
        </w:rPr>
        <w:t xml:space="preserve"> </w:t>
      </w:r>
      <w:r w:rsidRPr="00D72843">
        <w:rPr>
          <w:rFonts w:ascii="Calibri" w:eastAsia="Times New Roman" w:hAnsi="Calibri" w:cs="Calibri"/>
          <w:spacing w:val="-5"/>
          <w:lang w:val="fr-FR"/>
        </w:rPr>
        <w:t xml:space="preserve">travaille avec les communautés, les agences gouvernementales et non gouvernementales, les établissements scolaires et les organisations locales et internationales pour assurer la livraison efficiente et effective de biens et services, apporter un appui technique pour la surveillance et l'évaluation des programmes et des activités, aider à la prise de décision basée sur la preuve et la planification stratégique. L'organisation travaille pour améliorer non seulement la santé de l'individu, mais également la capacité des systèmes sanitaires nationaux qui aident à endiguer la pauvreté et soutenir la prospérité économique.   </w:t>
      </w:r>
    </w:p>
    <w:p w14:paraId="6D0F54B2" w14:textId="700E6DF6"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Malaria consortium intervient au Tchad dans</w:t>
      </w:r>
      <w:r w:rsidR="00FA642B">
        <w:rPr>
          <w:rFonts w:ascii="Calibri" w:eastAsia="Times New Roman" w:hAnsi="Calibri" w:cs="Calibri"/>
          <w:spacing w:val="-5"/>
          <w:lang w:val="fr-FR"/>
        </w:rPr>
        <w:t xml:space="preserve"> </w:t>
      </w:r>
      <w:r w:rsidR="00975B4D">
        <w:rPr>
          <w:rFonts w:ascii="Calibri" w:eastAsia="Times New Roman" w:hAnsi="Calibri" w:cs="Calibri"/>
          <w:spacing w:val="-5"/>
          <w:lang w:val="fr-FR"/>
        </w:rPr>
        <w:t>6</w:t>
      </w:r>
      <w:r w:rsidRPr="00D72843">
        <w:rPr>
          <w:rFonts w:ascii="Calibri" w:eastAsia="Times New Roman" w:hAnsi="Calibri" w:cs="Calibri"/>
          <w:spacing w:val="-5"/>
          <w:lang w:val="fr-FR"/>
        </w:rPr>
        <w:t xml:space="preserve"> Provinces (</w:t>
      </w:r>
      <w:proofErr w:type="spellStart"/>
      <w:r w:rsidR="004B7371">
        <w:rPr>
          <w:rFonts w:ascii="Calibri" w:eastAsia="Times New Roman" w:hAnsi="Calibri" w:cs="Calibri"/>
          <w:spacing w:val="-5"/>
          <w:lang w:val="fr-FR"/>
        </w:rPr>
        <w:t>Barh</w:t>
      </w:r>
      <w:proofErr w:type="spellEnd"/>
      <w:r w:rsidR="004B7371">
        <w:rPr>
          <w:rFonts w:ascii="Calibri" w:eastAsia="Times New Roman" w:hAnsi="Calibri" w:cs="Calibri"/>
          <w:spacing w:val="-5"/>
          <w:lang w:val="fr-FR"/>
        </w:rPr>
        <w:t xml:space="preserve"> El Gazal, </w:t>
      </w:r>
      <w:proofErr w:type="spellStart"/>
      <w:r w:rsidR="004B7371">
        <w:rPr>
          <w:rFonts w:ascii="Calibri" w:eastAsia="Times New Roman" w:hAnsi="Calibri" w:cs="Calibri"/>
          <w:spacing w:val="-5"/>
          <w:lang w:val="fr-FR"/>
        </w:rPr>
        <w:t>Batha</w:t>
      </w:r>
      <w:proofErr w:type="spellEnd"/>
      <w:r w:rsidR="004B7371">
        <w:rPr>
          <w:rFonts w:ascii="Calibri" w:eastAsia="Times New Roman" w:hAnsi="Calibri" w:cs="Calibri"/>
          <w:spacing w:val="-5"/>
          <w:lang w:val="fr-FR"/>
        </w:rPr>
        <w:t xml:space="preserve">, </w:t>
      </w:r>
      <w:r w:rsidRPr="00D72843">
        <w:rPr>
          <w:rFonts w:ascii="Calibri" w:eastAsia="Times New Roman" w:hAnsi="Calibri" w:cs="Calibri"/>
          <w:spacing w:val="-5"/>
          <w:lang w:val="fr-FR"/>
        </w:rPr>
        <w:t xml:space="preserve">Chari-Baguirmi, </w:t>
      </w:r>
      <w:proofErr w:type="spellStart"/>
      <w:r w:rsidRPr="00D72843">
        <w:rPr>
          <w:rFonts w:ascii="Calibri" w:eastAsia="Times New Roman" w:hAnsi="Calibri" w:cs="Calibri"/>
          <w:spacing w:val="-5"/>
          <w:lang w:val="fr-FR"/>
        </w:rPr>
        <w:t>Hadjer-Lamis</w:t>
      </w:r>
      <w:proofErr w:type="spellEnd"/>
      <w:r w:rsidRPr="00D72843">
        <w:rPr>
          <w:rFonts w:ascii="Calibri" w:eastAsia="Times New Roman" w:hAnsi="Calibri" w:cs="Calibri"/>
          <w:spacing w:val="-5"/>
          <w:lang w:val="fr-FR"/>
        </w:rPr>
        <w:t xml:space="preserve">, Mayo </w:t>
      </w:r>
      <w:proofErr w:type="spellStart"/>
      <w:r w:rsidRPr="00D72843">
        <w:rPr>
          <w:rFonts w:ascii="Calibri" w:eastAsia="Times New Roman" w:hAnsi="Calibri" w:cs="Calibri"/>
          <w:spacing w:val="-5"/>
          <w:lang w:val="fr-FR"/>
        </w:rPr>
        <w:t>Kebbi</w:t>
      </w:r>
      <w:proofErr w:type="spellEnd"/>
      <w:r w:rsidRPr="00D72843">
        <w:rPr>
          <w:rFonts w:ascii="Calibri" w:eastAsia="Times New Roman" w:hAnsi="Calibri" w:cs="Calibri"/>
          <w:spacing w:val="-5"/>
          <w:lang w:val="fr-FR"/>
        </w:rPr>
        <w:t xml:space="preserve"> Est et Ndjamena) regroupant 2</w:t>
      </w:r>
      <w:r w:rsidR="00A32ABF">
        <w:rPr>
          <w:rFonts w:ascii="Calibri" w:eastAsia="Times New Roman" w:hAnsi="Calibri" w:cs="Calibri"/>
          <w:spacing w:val="-5"/>
          <w:lang w:val="fr-FR"/>
        </w:rPr>
        <w:t>7</w:t>
      </w:r>
      <w:r w:rsidRPr="00D72843">
        <w:rPr>
          <w:rFonts w:ascii="Calibri" w:eastAsia="Times New Roman" w:hAnsi="Calibri" w:cs="Calibri"/>
          <w:spacing w:val="-5"/>
          <w:lang w:val="fr-FR"/>
        </w:rPr>
        <w:t xml:space="preserve"> Districts Sanitaires dans le cadre de la </w:t>
      </w:r>
      <w:proofErr w:type="spellStart"/>
      <w:r w:rsidRPr="00D72843">
        <w:rPr>
          <w:rFonts w:ascii="Calibri" w:eastAsia="Times New Roman" w:hAnsi="Calibri" w:cs="Calibri"/>
          <w:spacing w:val="-5"/>
          <w:lang w:val="fr-FR"/>
        </w:rPr>
        <w:t>Chimioprevention</w:t>
      </w:r>
      <w:proofErr w:type="spellEnd"/>
      <w:r w:rsidRPr="00D72843">
        <w:rPr>
          <w:rFonts w:ascii="Calibri" w:eastAsia="Times New Roman" w:hAnsi="Calibri" w:cs="Calibri"/>
          <w:spacing w:val="-5"/>
          <w:lang w:val="fr-FR"/>
        </w:rPr>
        <w:t xml:space="preserve"> du paludisme Saisonnier (CPS).</w:t>
      </w:r>
    </w:p>
    <w:p w14:paraId="00311A51" w14:textId="77777777" w:rsidR="00D72843" w:rsidRPr="00D72843" w:rsidRDefault="00D72843" w:rsidP="00D72843">
      <w:pPr>
        <w:autoSpaceDE w:val="0"/>
        <w:autoSpaceDN w:val="0"/>
        <w:spacing w:after="0" w:line="240" w:lineRule="auto"/>
        <w:ind w:left="1080"/>
        <w:jc w:val="both"/>
        <w:rPr>
          <w:rFonts w:ascii="Calibri" w:eastAsia="Times New Roman" w:hAnsi="Calibri" w:cs="Calibri"/>
          <w:spacing w:val="-5"/>
          <w:lang w:val="fr-FR"/>
        </w:rPr>
      </w:pPr>
    </w:p>
    <w:p w14:paraId="76CB4D65"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Malaria Consortium</w:t>
      </w:r>
      <w:r w:rsidRPr="00D72843">
        <w:rPr>
          <w:rFonts w:ascii="Calibri" w:eastAsia="Times New Roman" w:hAnsi="Calibri" w:cs="Calibri"/>
          <w:b/>
          <w:spacing w:val="-5"/>
          <w:lang w:val="fr-FR"/>
        </w:rPr>
        <w:t xml:space="preserve"> </w:t>
      </w:r>
      <w:r w:rsidRPr="00D72843">
        <w:rPr>
          <w:rFonts w:ascii="Calibri" w:eastAsia="Times New Roman" w:hAnsi="Calibri" w:cs="Calibri"/>
          <w:spacing w:val="-5"/>
          <w:lang w:val="fr-FR"/>
        </w:rPr>
        <w:t xml:space="preserve">s’efforce d’acquérir des biens et services à un prix juste, d’assurer la livraison de ces biens et services à temps, en quantité appropriée et de bonne qualité. </w:t>
      </w:r>
    </w:p>
    <w:p w14:paraId="70650FD4" w14:textId="77777777" w:rsidR="00D72843" w:rsidRPr="00D72843" w:rsidRDefault="00D72843" w:rsidP="00D72843">
      <w:pPr>
        <w:spacing w:after="0" w:line="240" w:lineRule="auto"/>
        <w:jc w:val="both"/>
        <w:rPr>
          <w:rFonts w:ascii="Calibri" w:eastAsia="Times New Roman" w:hAnsi="Calibri" w:cs="Calibri"/>
          <w:bCs/>
          <w:spacing w:val="-5"/>
          <w:lang w:val="fr-FR"/>
        </w:rPr>
      </w:pPr>
    </w:p>
    <w:p w14:paraId="701D3511" w14:textId="77777777" w:rsidR="00D72843" w:rsidRPr="007F7A2C" w:rsidRDefault="00D72843" w:rsidP="00E950CB">
      <w:pPr>
        <w:keepNext/>
        <w:numPr>
          <w:ilvl w:val="0"/>
          <w:numId w:val="11"/>
        </w:numPr>
        <w:spacing w:after="0" w:line="240" w:lineRule="auto"/>
        <w:outlineLvl w:val="2"/>
        <w:rPr>
          <w:rFonts w:ascii="Calibri" w:eastAsia="Times New Roman" w:hAnsi="Calibri" w:cs="Calibri"/>
          <w:b/>
          <w:spacing w:val="-5"/>
          <w:u w:val="single"/>
        </w:rPr>
      </w:pPr>
      <w:r w:rsidRPr="007F7A2C">
        <w:rPr>
          <w:rFonts w:ascii="Calibri" w:eastAsia="Times New Roman" w:hAnsi="Calibri" w:cs="Calibri"/>
          <w:b/>
          <w:spacing w:val="-5"/>
          <w:u w:val="single"/>
        </w:rPr>
        <w:t>Information Administrative</w:t>
      </w:r>
    </w:p>
    <w:p w14:paraId="2B89D386" w14:textId="77777777" w:rsidR="00D72843" w:rsidRPr="00D72843" w:rsidRDefault="00D72843" w:rsidP="00D72843">
      <w:pPr>
        <w:tabs>
          <w:tab w:val="num" w:pos="851"/>
        </w:tabs>
        <w:spacing w:after="0" w:line="240" w:lineRule="auto"/>
        <w:rPr>
          <w:rFonts w:ascii="Calibri" w:eastAsia="Times New Roman" w:hAnsi="Calibri" w:cs="Calibri"/>
          <w:spacing w:val="-5"/>
          <w:lang w:val="fr-FR"/>
        </w:rPr>
      </w:pPr>
    </w:p>
    <w:p w14:paraId="61848961" w14:textId="617FC223" w:rsidR="00D72843" w:rsidRDefault="00D72843" w:rsidP="00D72843">
      <w:pPr>
        <w:spacing w:after="0" w:line="240" w:lineRule="auto"/>
        <w:ind w:left="360"/>
        <w:rPr>
          <w:rFonts w:ascii="Calibri" w:eastAsia="Times New Roman" w:hAnsi="Calibri" w:cs="Calibri"/>
          <w:spacing w:val="-5"/>
          <w:lang w:val="fr-FR"/>
        </w:rPr>
      </w:pPr>
      <w:r w:rsidRPr="00D72843">
        <w:rPr>
          <w:rFonts w:ascii="Calibri" w:eastAsia="Times New Roman" w:hAnsi="Calibri" w:cs="Calibri"/>
          <w:spacing w:val="-5"/>
          <w:lang w:val="fr-FR"/>
        </w:rPr>
        <w:t>B.1) Le but de cet appel d’offre (RFP) est d’obtenir des offr</w:t>
      </w:r>
      <w:r w:rsidR="0078752D">
        <w:rPr>
          <w:rFonts w:ascii="Calibri" w:eastAsia="Times New Roman" w:hAnsi="Calibri" w:cs="Calibri"/>
          <w:spacing w:val="-5"/>
          <w:lang w:val="fr-FR"/>
        </w:rPr>
        <w:t>es concurrentielles pour c</w:t>
      </w:r>
      <w:r w:rsidR="007446F4">
        <w:rPr>
          <w:rFonts w:ascii="Calibri" w:eastAsia="Times New Roman" w:hAnsi="Calibri" w:cs="Calibri"/>
          <w:spacing w:val="-5"/>
          <w:lang w:val="fr-FR"/>
        </w:rPr>
        <w:t>hoisir un</w:t>
      </w:r>
      <w:r w:rsidR="004B7371">
        <w:rPr>
          <w:rFonts w:ascii="Calibri" w:eastAsia="Times New Roman" w:hAnsi="Calibri" w:cs="Calibri"/>
          <w:spacing w:val="-5"/>
          <w:lang w:val="fr-FR"/>
        </w:rPr>
        <w:t xml:space="preserve"> ou </w:t>
      </w:r>
      <w:r w:rsidR="00653BF9">
        <w:rPr>
          <w:rFonts w:ascii="Calibri" w:eastAsia="Times New Roman" w:hAnsi="Calibri" w:cs="Calibri"/>
          <w:spacing w:val="-5"/>
          <w:lang w:val="fr-FR"/>
        </w:rPr>
        <w:t>des fournisseurs</w:t>
      </w:r>
      <w:r w:rsidR="007446F4">
        <w:rPr>
          <w:rFonts w:ascii="Calibri" w:eastAsia="Times New Roman" w:hAnsi="Calibri" w:cs="Calibri"/>
          <w:spacing w:val="-5"/>
          <w:lang w:val="fr-FR"/>
        </w:rPr>
        <w:t xml:space="preserve"> de </w:t>
      </w:r>
      <w:r w:rsidR="00F823EE">
        <w:rPr>
          <w:rFonts w:ascii="Calibri" w:eastAsia="Times New Roman" w:hAnsi="Calibri" w:cs="Calibri"/>
          <w:spacing w:val="-5"/>
          <w:lang w:val="fr-FR"/>
        </w:rPr>
        <w:t>livraison d</w:t>
      </w:r>
      <w:r w:rsidR="004B7371">
        <w:rPr>
          <w:rFonts w:ascii="Calibri" w:eastAsia="Times New Roman" w:hAnsi="Calibri" w:cs="Calibri"/>
          <w:spacing w:val="-5"/>
          <w:lang w:val="fr-FR"/>
        </w:rPr>
        <w:t xml:space="preserve">es </w:t>
      </w:r>
      <w:r w:rsidR="00553981">
        <w:rPr>
          <w:rFonts w:ascii="Calibri" w:eastAsia="Times New Roman" w:hAnsi="Calibri" w:cs="Calibri"/>
          <w:spacing w:val="-5"/>
          <w:lang w:val="fr-FR"/>
        </w:rPr>
        <w:t xml:space="preserve">services </w:t>
      </w:r>
      <w:r w:rsidR="00553981" w:rsidRPr="00D72843">
        <w:rPr>
          <w:rFonts w:ascii="Calibri" w:eastAsia="Times New Roman" w:hAnsi="Calibri" w:cs="Calibri"/>
          <w:spacing w:val="-5"/>
          <w:lang w:val="fr-FR"/>
        </w:rPr>
        <w:t>pour</w:t>
      </w:r>
      <w:r w:rsidRPr="00D72843">
        <w:rPr>
          <w:rFonts w:ascii="Calibri" w:eastAsia="Times New Roman" w:hAnsi="Calibri" w:cs="Calibri"/>
          <w:spacing w:val="-5"/>
          <w:lang w:val="fr-FR"/>
        </w:rPr>
        <w:t xml:space="preserve"> son programme de Chimio prévention de paludisme </w:t>
      </w:r>
      <w:r w:rsidR="00476D60" w:rsidRPr="00D72843">
        <w:rPr>
          <w:rFonts w:ascii="Calibri" w:eastAsia="Times New Roman" w:hAnsi="Calibri" w:cs="Calibri"/>
          <w:spacing w:val="-5"/>
          <w:lang w:val="fr-FR"/>
        </w:rPr>
        <w:t>saisonner (</w:t>
      </w:r>
      <w:r w:rsidRPr="00D72843">
        <w:rPr>
          <w:rFonts w:ascii="Calibri" w:eastAsia="Times New Roman" w:hAnsi="Calibri" w:cs="Calibri"/>
          <w:spacing w:val="-5"/>
          <w:lang w:val="fr-FR"/>
        </w:rPr>
        <w:t>CPS) 202</w:t>
      </w:r>
      <w:r w:rsidR="006D6000">
        <w:rPr>
          <w:rFonts w:ascii="Calibri" w:eastAsia="Times New Roman" w:hAnsi="Calibri" w:cs="Calibri"/>
          <w:spacing w:val="-5"/>
          <w:lang w:val="fr-FR"/>
        </w:rPr>
        <w:t>2</w:t>
      </w:r>
      <w:r w:rsidRPr="00D72843">
        <w:rPr>
          <w:rFonts w:ascii="Calibri" w:eastAsia="Times New Roman" w:hAnsi="Calibri" w:cs="Calibri"/>
          <w:spacing w:val="-5"/>
          <w:lang w:val="fr-FR"/>
        </w:rPr>
        <w:t xml:space="preserve"> au Tchad.</w:t>
      </w:r>
      <w:r w:rsidR="00416D94">
        <w:rPr>
          <w:rFonts w:ascii="Calibri" w:eastAsia="Times New Roman" w:hAnsi="Calibri" w:cs="Calibri"/>
          <w:spacing w:val="-5"/>
          <w:lang w:val="fr-FR"/>
        </w:rPr>
        <w:t xml:space="preserve"> Les </w:t>
      </w:r>
      <w:r w:rsidR="00553981">
        <w:rPr>
          <w:rFonts w:ascii="Calibri" w:eastAsia="Times New Roman" w:hAnsi="Calibri" w:cs="Calibri"/>
          <w:spacing w:val="-5"/>
          <w:lang w:val="fr-FR"/>
        </w:rPr>
        <w:t>services</w:t>
      </w:r>
      <w:r w:rsidR="00416D94">
        <w:rPr>
          <w:rFonts w:ascii="Calibri" w:eastAsia="Times New Roman" w:hAnsi="Calibri" w:cs="Calibri"/>
          <w:spacing w:val="-5"/>
          <w:lang w:val="fr-FR"/>
        </w:rPr>
        <w:t xml:space="preserve"> sont repartis en lots comme suit :</w:t>
      </w:r>
    </w:p>
    <w:p w14:paraId="11580AAC" w14:textId="799E12AA" w:rsidR="00416D94" w:rsidRDefault="00416D94" w:rsidP="00D72843">
      <w:pPr>
        <w:spacing w:after="0" w:line="240" w:lineRule="auto"/>
        <w:ind w:left="360"/>
        <w:rPr>
          <w:rFonts w:ascii="Calibri" w:eastAsia="Times New Roman" w:hAnsi="Calibri" w:cs="Calibri"/>
          <w:spacing w:val="-5"/>
          <w:lang w:val="fr-FR"/>
        </w:rPr>
      </w:pPr>
    </w:p>
    <w:p w14:paraId="403F0E13" w14:textId="1C477687" w:rsidR="00416D94" w:rsidRPr="00476D60" w:rsidRDefault="00416D94" w:rsidP="00D72843">
      <w:pPr>
        <w:spacing w:after="0" w:line="240" w:lineRule="auto"/>
        <w:ind w:left="360"/>
        <w:rPr>
          <w:rFonts w:ascii="Calibri" w:eastAsia="Times New Roman" w:hAnsi="Calibri" w:cs="Calibri"/>
          <w:b/>
          <w:bCs/>
          <w:spacing w:val="-5"/>
          <w:lang w:val="fr-FR"/>
        </w:rPr>
      </w:pPr>
      <w:r w:rsidRPr="00476D60">
        <w:rPr>
          <w:rFonts w:ascii="Calibri" w:eastAsia="Times New Roman" w:hAnsi="Calibri" w:cs="Calibri"/>
          <w:b/>
          <w:bCs/>
          <w:spacing w:val="-5"/>
          <w:lang w:val="fr-FR"/>
        </w:rPr>
        <w:t xml:space="preserve">Lot 1 :   </w:t>
      </w:r>
      <w:r w:rsidR="00476D60" w:rsidRPr="00476D60">
        <w:rPr>
          <w:rFonts w:ascii="Calibri" w:eastAsia="Times New Roman" w:hAnsi="Calibri" w:cs="Calibri"/>
          <w:b/>
          <w:bCs/>
          <w:spacing w:val="-5"/>
          <w:lang w:val="fr-FR"/>
        </w:rPr>
        <w:t>Enquêtes</w:t>
      </w:r>
      <w:r w:rsidR="00553981" w:rsidRPr="00476D60">
        <w:rPr>
          <w:rFonts w:ascii="Calibri" w:eastAsia="Times New Roman" w:hAnsi="Calibri" w:cs="Calibri"/>
          <w:b/>
          <w:bCs/>
          <w:spacing w:val="-5"/>
          <w:lang w:val="fr-FR"/>
        </w:rPr>
        <w:t xml:space="preserve"> LQAS</w:t>
      </w:r>
    </w:p>
    <w:p w14:paraId="7F49A1D2" w14:textId="46D1FD22" w:rsidR="00416D94" w:rsidRPr="00476D60" w:rsidRDefault="00416D94" w:rsidP="00D72843">
      <w:pPr>
        <w:spacing w:after="0" w:line="240" w:lineRule="auto"/>
        <w:ind w:left="360"/>
        <w:rPr>
          <w:rFonts w:ascii="Calibri" w:eastAsia="Times New Roman" w:hAnsi="Calibri" w:cs="Calibri"/>
          <w:b/>
          <w:bCs/>
          <w:spacing w:val="-5"/>
          <w:lang w:val="fr-FR"/>
        </w:rPr>
      </w:pPr>
    </w:p>
    <w:p w14:paraId="27A65F8F" w14:textId="5DADA793" w:rsidR="006D6000" w:rsidRPr="00476D60" w:rsidRDefault="00416D94" w:rsidP="00793D77">
      <w:pPr>
        <w:spacing w:after="0" w:line="240" w:lineRule="auto"/>
        <w:ind w:left="360"/>
        <w:rPr>
          <w:rFonts w:ascii="Calibri" w:eastAsia="Times New Roman" w:hAnsi="Calibri" w:cs="Calibri"/>
          <w:b/>
          <w:bCs/>
          <w:spacing w:val="-5"/>
          <w:lang w:val="fr-FR"/>
        </w:rPr>
      </w:pPr>
      <w:r w:rsidRPr="00476D60">
        <w:rPr>
          <w:rFonts w:ascii="Calibri" w:eastAsia="Times New Roman" w:hAnsi="Calibri" w:cs="Calibri"/>
          <w:b/>
          <w:bCs/>
          <w:spacing w:val="-5"/>
          <w:lang w:val="fr-FR"/>
        </w:rPr>
        <w:t xml:space="preserve">Lot 2 :  </w:t>
      </w:r>
      <w:r w:rsidR="00476D60" w:rsidRPr="00476D60">
        <w:rPr>
          <w:rFonts w:ascii="Calibri" w:eastAsia="Times New Roman" w:hAnsi="Calibri" w:cs="Calibri"/>
          <w:b/>
          <w:bCs/>
          <w:spacing w:val="-5"/>
          <w:lang w:val="fr-FR"/>
        </w:rPr>
        <w:t>Enquêtes</w:t>
      </w:r>
      <w:r w:rsidR="00553981" w:rsidRPr="00476D60">
        <w:rPr>
          <w:rFonts w:ascii="Calibri" w:eastAsia="Times New Roman" w:hAnsi="Calibri" w:cs="Calibri"/>
          <w:b/>
          <w:bCs/>
          <w:spacing w:val="-5"/>
          <w:lang w:val="fr-FR"/>
        </w:rPr>
        <w:t xml:space="preserve"> de couverture</w:t>
      </w:r>
      <w:r w:rsidR="00476D60">
        <w:rPr>
          <w:rFonts w:ascii="Calibri" w:eastAsia="Times New Roman" w:hAnsi="Calibri" w:cs="Calibri"/>
          <w:b/>
          <w:bCs/>
          <w:spacing w:val="-5"/>
          <w:lang w:val="fr-FR"/>
        </w:rPr>
        <w:t xml:space="preserve"> de fins de cycles</w:t>
      </w:r>
    </w:p>
    <w:p w14:paraId="4D0A1767" w14:textId="17309E7E" w:rsidR="00416D94" w:rsidRPr="00476D60" w:rsidRDefault="00416D94" w:rsidP="00793D77">
      <w:pPr>
        <w:spacing w:after="0" w:line="240" w:lineRule="auto"/>
        <w:rPr>
          <w:rFonts w:ascii="Calibri" w:eastAsia="Times New Roman" w:hAnsi="Calibri" w:cs="Calibri"/>
          <w:b/>
          <w:bCs/>
          <w:spacing w:val="-5"/>
          <w:lang w:val="fr-FR"/>
        </w:rPr>
      </w:pPr>
    </w:p>
    <w:p w14:paraId="38325839" w14:textId="7E6F4AA2" w:rsidR="00416D94" w:rsidRDefault="00416D94" w:rsidP="00793D77">
      <w:pPr>
        <w:spacing w:after="0" w:line="240" w:lineRule="auto"/>
        <w:rPr>
          <w:rFonts w:ascii="Calibri" w:eastAsia="Times New Roman" w:hAnsi="Calibri" w:cs="Calibri"/>
          <w:spacing w:val="-5"/>
          <w:lang w:val="fr-FR"/>
        </w:rPr>
      </w:pPr>
    </w:p>
    <w:p w14:paraId="0E8F3772" w14:textId="7C221703" w:rsidR="00416D94" w:rsidRDefault="00416D94" w:rsidP="00D72843">
      <w:pPr>
        <w:spacing w:after="0" w:line="240" w:lineRule="auto"/>
        <w:ind w:left="360"/>
        <w:rPr>
          <w:rFonts w:ascii="Calibri" w:eastAsia="Times New Roman" w:hAnsi="Calibri" w:cs="Calibri"/>
          <w:spacing w:val="-5"/>
          <w:lang w:val="fr-FR"/>
        </w:rPr>
      </w:pPr>
      <w:r>
        <w:rPr>
          <w:rFonts w:ascii="Calibri" w:eastAsia="Times New Roman" w:hAnsi="Calibri" w:cs="Calibri"/>
          <w:spacing w:val="-5"/>
          <w:lang w:val="fr-FR"/>
        </w:rPr>
        <w:t>Les détails se trouvent dans la rubrique C du présent Appel d’offres.</w:t>
      </w:r>
    </w:p>
    <w:p w14:paraId="349735F1" w14:textId="3AF3C47E" w:rsidR="00FA24B3" w:rsidRDefault="00FA24B3" w:rsidP="00D72843">
      <w:pPr>
        <w:spacing w:after="0" w:line="240" w:lineRule="auto"/>
        <w:ind w:left="360"/>
        <w:rPr>
          <w:rFonts w:ascii="Arial" w:eastAsia="Times New Roman" w:hAnsi="Arial" w:cs="Times New Roman"/>
          <w:spacing w:val="-5"/>
          <w:sz w:val="20"/>
          <w:szCs w:val="20"/>
          <w:lang w:val="fr-FR"/>
        </w:rPr>
      </w:pPr>
    </w:p>
    <w:p w14:paraId="53D57F85" w14:textId="77777777" w:rsidR="005475AC" w:rsidRDefault="005475AC" w:rsidP="00D72843">
      <w:pPr>
        <w:spacing w:after="0" w:line="240" w:lineRule="auto"/>
        <w:ind w:left="360"/>
        <w:rPr>
          <w:rFonts w:ascii="Calibri" w:eastAsia="Times New Roman" w:hAnsi="Calibri" w:cs="Calibri"/>
          <w:spacing w:val="-5"/>
          <w:lang w:val="fr-FR"/>
        </w:rPr>
      </w:pPr>
    </w:p>
    <w:p w14:paraId="27FD2104" w14:textId="5CDAE023" w:rsidR="00D72843" w:rsidRPr="00D72843" w:rsidRDefault="00D72843" w:rsidP="00D72843">
      <w:pPr>
        <w:spacing w:after="0" w:line="240" w:lineRule="auto"/>
        <w:ind w:left="360"/>
        <w:rPr>
          <w:rFonts w:ascii="Calibri" w:eastAsia="Times New Roman" w:hAnsi="Calibri" w:cs="Calibri"/>
          <w:spacing w:val="-5"/>
          <w:lang w:val="fr-FR"/>
        </w:rPr>
      </w:pPr>
      <w:r w:rsidRPr="00D72843">
        <w:rPr>
          <w:rFonts w:ascii="Calibri" w:eastAsia="Times New Roman" w:hAnsi="Calibri" w:cs="Calibri"/>
          <w:spacing w:val="-5"/>
          <w:lang w:val="fr-FR"/>
        </w:rPr>
        <w:t xml:space="preserve">B.2) Les Offres peuvent également être soumises par version électronique à </w:t>
      </w:r>
      <w:r w:rsidRPr="007F7A2C">
        <w:rPr>
          <w:rStyle w:val="Hyperlink"/>
          <w:rFonts w:cs="Times New Roman"/>
          <w:lang w:val="fr-FR"/>
        </w:rPr>
        <w:t>tenders@malariaconsortium.org</w:t>
      </w:r>
      <w:r w:rsidRPr="00D72843">
        <w:rPr>
          <w:rFonts w:ascii="Calibri" w:eastAsia="Times New Roman" w:hAnsi="Calibri" w:cs="Calibri"/>
          <w:spacing w:val="-5"/>
          <w:lang w:val="fr-FR"/>
        </w:rPr>
        <w:t xml:space="preserve"> avec la référence suivante dans le sujet </w:t>
      </w:r>
      <w:proofErr w:type="gramStart"/>
      <w:r w:rsidRPr="00D72843">
        <w:rPr>
          <w:rFonts w:ascii="Calibri" w:eastAsia="Times New Roman" w:hAnsi="Calibri" w:cs="Calibri"/>
          <w:spacing w:val="-5"/>
          <w:lang w:val="fr-FR"/>
        </w:rPr>
        <w:t>de l’email</w:t>
      </w:r>
      <w:proofErr w:type="gramEnd"/>
      <w:r w:rsidRPr="00D72843">
        <w:rPr>
          <w:rFonts w:ascii="Calibri" w:eastAsia="Times New Roman" w:hAnsi="Calibri" w:cs="Calibri"/>
          <w:spacing w:val="-5"/>
          <w:lang w:val="fr-FR"/>
        </w:rPr>
        <w:t xml:space="preserve"> : </w:t>
      </w:r>
    </w:p>
    <w:p w14:paraId="34E84E5A" w14:textId="3654F798" w:rsidR="00D72843" w:rsidRPr="00553981" w:rsidRDefault="005475AC" w:rsidP="005475AC">
      <w:pPr>
        <w:pStyle w:val="ListParagraph"/>
        <w:numPr>
          <w:ilvl w:val="0"/>
          <w:numId w:val="20"/>
        </w:numPr>
        <w:rPr>
          <w:rFonts w:eastAsia="Times New Roman" w:cs="Calibri"/>
          <w:b w:val="0"/>
          <w:spacing w:val="-5"/>
          <w:sz w:val="22"/>
          <w:szCs w:val="22"/>
        </w:rPr>
      </w:pPr>
      <w:r w:rsidRPr="00553981">
        <w:rPr>
          <w:rFonts w:eastAsia="Times New Roman" w:cs="Calibri"/>
          <w:b w:val="0"/>
          <w:spacing w:val="-5"/>
          <w:sz w:val="22"/>
          <w:szCs w:val="22"/>
        </w:rPr>
        <w:t>« </w:t>
      </w:r>
      <w:r w:rsidR="00553981" w:rsidRPr="00553981">
        <w:rPr>
          <w:rFonts w:asciiTheme="minorHAnsi" w:hAnsiTheme="minorHAnsi" w:cstheme="minorHAnsi"/>
          <w:bCs/>
          <w:caps/>
          <w:color w:val="000000"/>
          <w:sz w:val="22"/>
          <w:szCs w:val="22"/>
        </w:rPr>
        <w:t>TD/MC-LQAS1&amp;SURVEY 004</w:t>
      </w:r>
      <w:r w:rsidRPr="00553981">
        <w:rPr>
          <w:rFonts w:eastAsia="Times New Roman" w:cs="Calibri"/>
          <w:bCs/>
          <w:spacing w:val="-5"/>
          <w:sz w:val="22"/>
          <w:szCs w:val="22"/>
        </w:rPr>
        <w:t xml:space="preserve">» + </w:t>
      </w:r>
      <w:proofErr w:type="spellStart"/>
      <w:r w:rsidRPr="00553981">
        <w:rPr>
          <w:rFonts w:eastAsia="Times New Roman" w:cs="Calibri"/>
          <w:bCs/>
          <w:spacing w:val="-5"/>
          <w:sz w:val="22"/>
          <w:szCs w:val="22"/>
        </w:rPr>
        <w:t>Numéro</w:t>
      </w:r>
      <w:proofErr w:type="spellEnd"/>
      <w:r w:rsidRPr="00553981">
        <w:rPr>
          <w:rFonts w:eastAsia="Times New Roman" w:cs="Calibri"/>
          <w:bCs/>
          <w:spacing w:val="-5"/>
          <w:sz w:val="22"/>
          <w:szCs w:val="22"/>
        </w:rPr>
        <w:t xml:space="preserve"> LOT</w:t>
      </w:r>
    </w:p>
    <w:p w14:paraId="1797B64B" w14:textId="77777777" w:rsidR="00D72843" w:rsidRPr="005475AC" w:rsidRDefault="00D72843" w:rsidP="005475AC">
      <w:pPr>
        <w:pStyle w:val="ListParagraph"/>
        <w:numPr>
          <w:ilvl w:val="0"/>
          <w:numId w:val="20"/>
        </w:numPr>
        <w:rPr>
          <w:rFonts w:eastAsia="Times New Roman" w:cs="Calibri"/>
          <w:b w:val="0"/>
          <w:spacing w:val="-5"/>
          <w:sz w:val="22"/>
          <w:szCs w:val="22"/>
          <w:lang w:val="fr-FR"/>
        </w:rPr>
      </w:pPr>
      <w:r w:rsidRPr="005475AC">
        <w:rPr>
          <w:rFonts w:eastAsia="Times New Roman" w:cs="Calibri"/>
          <w:b w:val="0"/>
          <w:spacing w:val="-5"/>
          <w:sz w:val="22"/>
          <w:szCs w:val="22"/>
          <w:lang w:val="fr-FR"/>
        </w:rPr>
        <w:t xml:space="preserve">Nombre </w:t>
      </w:r>
      <w:proofErr w:type="gramStart"/>
      <w:r w:rsidRPr="005475AC">
        <w:rPr>
          <w:rFonts w:eastAsia="Times New Roman" w:cs="Calibri"/>
          <w:b w:val="0"/>
          <w:spacing w:val="-5"/>
          <w:sz w:val="22"/>
          <w:szCs w:val="22"/>
          <w:lang w:val="fr-FR"/>
        </w:rPr>
        <w:t>d’e-mails</w:t>
      </w:r>
      <w:proofErr w:type="gramEnd"/>
      <w:r w:rsidRPr="005475AC">
        <w:rPr>
          <w:rFonts w:eastAsia="Times New Roman" w:cs="Calibri"/>
          <w:b w:val="0"/>
          <w:spacing w:val="-5"/>
          <w:sz w:val="22"/>
          <w:szCs w:val="22"/>
          <w:lang w:val="fr-FR"/>
        </w:rPr>
        <w:t xml:space="preserve"> envoyés par exemple 1 de 2/3,3</w:t>
      </w:r>
    </w:p>
    <w:p w14:paraId="32391937" w14:textId="1C5D5559" w:rsidR="00D72843" w:rsidRPr="00D72843" w:rsidRDefault="00D72843" w:rsidP="00D72843">
      <w:pPr>
        <w:spacing w:after="0" w:line="240" w:lineRule="auto"/>
        <w:ind w:left="360"/>
        <w:rPr>
          <w:rFonts w:ascii="Calibri" w:eastAsia="Times New Roman" w:hAnsi="Calibri" w:cs="Calibri"/>
          <w:spacing w:val="-5"/>
          <w:lang w:val="fr-FR"/>
        </w:rPr>
      </w:pPr>
      <w:r w:rsidRPr="00D72843">
        <w:rPr>
          <w:rFonts w:ascii="Calibri" w:eastAsia="Times New Roman" w:hAnsi="Calibri" w:cs="Calibri"/>
          <w:spacing w:val="-5"/>
          <w:lang w:val="fr-FR"/>
        </w:rPr>
        <w:t xml:space="preserve">Si un envoi de soumission électronique n’est pas possible, les soumissionnaires peuvent soumettre leur offre technique et financière </w:t>
      </w:r>
      <w:r w:rsidR="005475AC" w:rsidRPr="0057697A">
        <w:rPr>
          <w:rFonts w:ascii="Calibri" w:hAnsi="Calibri" w:cs="Calibri"/>
          <w:lang w:val="fr-FR"/>
        </w:rPr>
        <w:t>sous pli fermé</w:t>
      </w:r>
      <w:r w:rsidR="005475AC">
        <w:rPr>
          <w:rFonts w:ascii="Calibri" w:hAnsi="Calibri" w:cs="Calibri"/>
          <w:lang w:val="fr-FR"/>
        </w:rPr>
        <w:t xml:space="preserve"> en 1 original et 2 copies incluant tout échantillon</w:t>
      </w:r>
      <w:r w:rsidR="005475AC" w:rsidRPr="00D72843">
        <w:rPr>
          <w:rFonts w:ascii="Calibri" w:eastAsia="Times New Roman" w:hAnsi="Calibri" w:cs="Calibri"/>
          <w:spacing w:val="-5"/>
          <w:lang w:val="fr-FR"/>
        </w:rPr>
        <w:t xml:space="preserve"> </w:t>
      </w:r>
      <w:r w:rsidRPr="00D72843">
        <w:rPr>
          <w:rFonts w:ascii="Calibri" w:eastAsia="Times New Roman" w:hAnsi="Calibri" w:cs="Calibri"/>
          <w:spacing w:val="-5"/>
          <w:lang w:val="fr-FR"/>
        </w:rPr>
        <w:t xml:space="preserve">marquée </w:t>
      </w:r>
      <w:r w:rsidR="00553981" w:rsidRPr="00553981">
        <w:rPr>
          <w:rFonts w:cstheme="minorHAnsi"/>
          <w:b/>
          <w:caps/>
          <w:color w:val="000000"/>
          <w:lang w:val="fr-FR"/>
        </w:rPr>
        <w:t>TD/MC-LQAS1&amp;SURVEY 004</w:t>
      </w:r>
      <w:r w:rsidR="00553981" w:rsidRPr="00553981">
        <w:rPr>
          <w:rFonts w:cstheme="minorHAnsi"/>
          <w:bCs/>
          <w:caps/>
          <w:color w:val="000000"/>
          <w:lang w:val="fr-FR"/>
        </w:rPr>
        <w:t xml:space="preserve"> </w:t>
      </w:r>
      <w:r w:rsidRPr="00D72843">
        <w:rPr>
          <w:rFonts w:ascii="Calibri" w:eastAsia="Times New Roman" w:hAnsi="Calibri" w:cs="Calibri"/>
          <w:spacing w:val="-5"/>
          <w:lang w:val="fr-FR"/>
        </w:rPr>
        <w:t>avec la mention &lt;&lt;</w:t>
      </w:r>
      <w:r w:rsidRPr="00D72843">
        <w:rPr>
          <w:rFonts w:ascii="Calibri" w:eastAsia="Times New Roman" w:hAnsi="Calibri" w:cs="Calibri"/>
          <w:b/>
          <w:spacing w:val="-5"/>
          <w:lang w:val="fr-FR"/>
        </w:rPr>
        <w:t xml:space="preserve"> </w:t>
      </w:r>
      <w:r w:rsidRPr="00D72843">
        <w:rPr>
          <w:rFonts w:ascii="Calibri" w:eastAsia="Times New Roman" w:hAnsi="Calibri" w:cs="Calibri"/>
          <w:b/>
          <w:i/>
          <w:spacing w:val="-5"/>
          <w:lang w:val="fr-FR"/>
        </w:rPr>
        <w:t>ne pas être o</w:t>
      </w:r>
      <w:r w:rsidR="000D0AA7">
        <w:rPr>
          <w:rFonts w:ascii="Calibri" w:eastAsia="Times New Roman" w:hAnsi="Calibri" w:cs="Calibri"/>
          <w:b/>
          <w:i/>
          <w:spacing w:val="-5"/>
          <w:lang w:val="fr-FR"/>
        </w:rPr>
        <w:t xml:space="preserve">uvert avant la date limite du </w:t>
      </w:r>
      <w:r w:rsidR="00476D60">
        <w:rPr>
          <w:rFonts w:ascii="Calibri" w:eastAsia="Times New Roman" w:hAnsi="Calibri" w:cs="Calibri"/>
          <w:b/>
          <w:i/>
          <w:spacing w:val="-5"/>
          <w:lang w:val="fr-FR"/>
        </w:rPr>
        <w:t>03 juin</w:t>
      </w:r>
      <w:r w:rsidR="004B7371">
        <w:rPr>
          <w:rFonts w:ascii="Calibri" w:eastAsia="Times New Roman" w:hAnsi="Calibri" w:cs="Calibri"/>
          <w:b/>
          <w:i/>
          <w:spacing w:val="-5"/>
          <w:lang w:val="fr-FR"/>
        </w:rPr>
        <w:t xml:space="preserve"> 202</w:t>
      </w:r>
      <w:r w:rsidR="00142BFA">
        <w:rPr>
          <w:rFonts w:ascii="Calibri" w:eastAsia="Times New Roman" w:hAnsi="Calibri" w:cs="Calibri"/>
          <w:b/>
          <w:i/>
          <w:spacing w:val="-5"/>
          <w:lang w:val="fr-FR"/>
        </w:rPr>
        <w:t>2</w:t>
      </w:r>
      <w:r w:rsidRPr="00D72843">
        <w:rPr>
          <w:rFonts w:ascii="Calibri" w:eastAsia="Times New Roman" w:hAnsi="Calibri" w:cs="Calibri"/>
          <w:b/>
          <w:i/>
          <w:spacing w:val="-5"/>
          <w:lang w:val="fr-FR"/>
        </w:rPr>
        <w:t>, par le comité d’appel d’offre</w:t>
      </w:r>
      <w:r w:rsidRPr="00D72843">
        <w:rPr>
          <w:rFonts w:ascii="Calibri" w:eastAsia="Times New Roman" w:hAnsi="Calibri" w:cs="Calibri"/>
          <w:spacing w:val="-5"/>
          <w:lang w:val="fr-FR"/>
        </w:rPr>
        <w:t>&gt;&gt; à l’adresse suivante :</w:t>
      </w:r>
    </w:p>
    <w:p w14:paraId="53890EC6" w14:textId="77777777" w:rsidR="00D72843" w:rsidRPr="00D72843" w:rsidRDefault="00D72843" w:rsidP="00D72843">
      <w:pPr>
        <w:spacing w:after="0" w:line="240" w:lineRule="auto"/>
        <w:ind w:left="360"/>
        <w:rPr>
          <w:rFonts w:ascii="Calibri" w:eastAsia="Times New Roman" w:hAnsi="Calibri" w:cs="Calibri"/>
          <w:spacing w:val="-5"/>
          <w:lang w:val="fr-FR"/>
        </w:rPr>
      </w:pPr>
    </w:p>
    <w:p w14:paraId="4C0899D2" w14:textId="77777777" w:rsidR="00D72843" w:rsidRPr="00D72843" w:rsidRDefault="00D72843" w:rsidP="00D72843">
      <w:pPr>
        <w:spacing w:after="0" w:line="240" w:lineRule="auto"/>
        <w:ind w:firstLine="360"/>
        <w:rPr>
          <w:rFonts w:ascii="Calibri" w:eastAsia="Times New Roman" w:hAnsi="Calibri" w:cs="Calibri"/>
          <w:b/>
          <w:spacing w:val="-5"/>
          <w:lang w:val="fr-FR"/>
        </w:rPr>
      </w:pPr>
      <w:r w:rsidRPr="00D72843">
        <w:rPr>
          <w:rFonts w:ascii="Calibri" w:eastAsia="Times New Roman" w:hAnsi="Calibri" w:cs="Calibri"/>
          <w:b/>
          <w:spacing w:val="-5"/>
          <w:lang w:val="fr-FR"/>
        </w:rPr>
        <w:t>Malaria Consortium Tchad</w:t>
      </w:r>
    </w:p>
    <w:p w14:paraId="0101E99B" w14:textId="77777777" w:rsidR="00D72843" w:rsidRPr="00D72843" w:rsidRDefault="00D72843" w:rsidP="00D72843">
      <w:pPr>
        <w:autoSpaceDE w:val="0"/>
        <w:autoSpaceDN w:val="0"/>
        <w:spacing w:after="0" w:line="240" w:lineRule="auto"/>
        <w:ind w:left="360"/>
        <w:rPr>
          <w:rFonts w:ascii="Calibri" w:eastAsia="Times New Roman" w:hAnsi="Calibri" w:cs="Calibri"/>
          <w:b/>
          <w:spacing w:val="-5"/>
          <w:lang w:val="fr-FR"/>
        </w:rPr>
      </w:pPr>
      <w:r w:rsidRPr="00D72843">
        <w:rPr>
          <w:rFonts w:ascii="Calibri" w:eastAsia="Times New Roman" w:hAnsi="Calibri" w:cs="Calibri"/>
          <w:b/>
          <w:spacing w:val="-5"/>
          <w:lang w:val="fr-FR"/>
        </w:rPr>
        <w:t>Au : Comité d’appel d’offre</w:t>
      </w:r>
    </w:p>
    <w:p w14:paraId="416B8A65" w14:textId="77777777" w:rsidR="00D72843" w:rsidRPr="00D72843" w:rsidRDefault="00D72843" w:rsidP="00D72843">
      <w:pPr>
        <w:spacing w:after="0" w:line="240" w:lineRule="auto"/>
        <w:ind w:left="360"/>
        <w:rPr>
          <w:rFonts w:ascii="Calibri" w:eastAsia="Times New Roman" w:hAnsi="Calibri" w:cs="Calibri"/>
          <w:b/>
          <w:spacing w:val="-5"/>
          <w:lang w:val="fr-FR"/>
        </w:rPr>
      </w:pPr>
      <w:r w:rsidRPr="00D72843">
        <w:rPr>
          <w:rFonts w:ascii="Calibri" w:eastAsia="Times New Roman" w:hAnsi="Calibri" w:cs="Calibri"/>
          <w:b/>
          <w:spacing w:val="-5"/>
          <w:lang w:val="fr-FR"/>
        </w:rPr>
        <w:t xml:space="preserve">Angle bureau de l’Entente des Eglises (EEMET)   </w:t>
      </w:r>
    </w:p>
    <w:p w14:paraId="55A9092D" w14:textId="4E303679" w:rsidR="00D72843" w:rsidRPr="00D72843" w:rsidRDefault="00D72843" w:rsidP="00D72843">
      <w:pPr>
        <w:spacing w:after="0" w:line="240" w:lineRule="auto"/>
        <w:ind w:left="360"/>
        <w:rPr>
          <w:rFonts w:ascii="Calibri" w:eastAsia="Times New Roman" w:hAnsi="Calibri" w:cs="Calibri"/>
          <w:b/>
          <w:spacing w:val="-5"/>
          <w:lang w:val="fr-FR"/>
        </w:rPr>
      </w:pPr>
      <w:r w:rsidRPr="00D72843">
        <w:rPr>
          <w:rFonts w:ascii="Calibri" w:eastAsia="Times New Roman" w:hAnsi="Calibri" w:cs="Calibri"/>
          <w:b/>
          <w:spacing w:val="-5"/>
          <w:lang w:val="fr-FR"/>
        </w:rPr>
        <w:t xml:space="preserve">Rue 2175 &amp; Porte </w:t>
      </w:r>
      <w:r w:rsidR="00142BFA">
        <w:rPr>
          <w:rFonts w:ascii="Calibri" w:eastAsia="Times New Roman" w:hAnsi="Calibri" w:cs="Calibri"/>
          <w:b/>
          <w:spacing w:val="-5"/>
          <w:lang w:val="fr-FR"/>
        </w:rPr>
        <w:t>205</w:t>
      </w:r>
      <w:r w:rsidRPr="00D72843">
        <w:rPr>
          <w:rFonts w:ascii="Calibri" w:eastAsia="Times New Roman" w:hAnsi="Calibri" w:cs="Calibri"/>
          <w:b/>
          <w:spacing w:val="-5"/>
          <w:lang w:val="fr-FR"/>
        </w:rPr>
        <w:t xml:space="preserve">– SABANGALI/ </w:t>
      </w:r>
      <w:r w:rsidR="00774473" w:rsidRPr="00D72843">
        <w:rPr>
          <w:rFonts w:ascii="Calibri" w:eastAsia="Times New Roman" w:hAnsi="Calibri" w:cs="Calibri"/>
          <w:b/>
          <w:spacing w:val="-5"/>
          <w:lang w:val="fr-FR"/>
        </w:rPr>
        <w:t>Ndjamena</w:t>
      </w:r>
      <w:r w:rsidR="00774473">
        <w:rPr>
          <w:rFonts w:ascii="Calibri" w:eastAsia="Times New Roman" w:hAnsi="Calibri" w:cs="Calibri"/>
          <w:b/>
          <w:spacing w:val="-5"/>
          <w:lang w:val="fr-FR"/>
        </w:rPr>
        <w:t xml:space="preserve"> Tchad.</w:t>
      </w:r>
    </w:p>
    <w:p w14:paraId="50D1E966" w14:textId="7724C90D" w:rsidR="00D72843" w:rsidRPr="00D72843" w:rsidRDefault="00D72843" w:rsidP="00D72843">
      <w:pPr>
        <w:autoSpaceDE w:val="0"/>
        <w:autoSpaceDN w:val="0"/>
        <w:spacing w:after="0" w:line="240" w:lineRule="auto"/>
        <w:ind w:left="360"/>
        <w:rPr>
          <w:rFonts w:ascii="Calibri" w:eastAsia="Times New Roman" w:hAnsi="Calibri" w:cs="Calibri"/>
          <w:b/>
          <w:spacing w:val="-5"/>
          <w:lang w:val="fr-FR"/>
        </w:rPr>
      </w:pPr>
      <w:r w:rsidRPr="00D72843">
        <w:rPr>
          <w:rFonts w:ascii="Calibri" w:eastAsia="Times New Roman" w:hAnsi="Calibri" w:cs="Calibri"/>
          <w:b/>
          <w:spacing w:val="-5"/>
          <w:lang w:val="fr-FR"/>
        </w:rPr>
        <w:t xml:space="preserve"> </w:t>
      </w:r>
    </w:p>
    <w:p w14:paraId="1FF3D708" w14:textId="77777777" w:rsidR="00D72843" w:rsidRPr="00D72843" w:rsidRDefault="00D72843" w:rsidP="00D72843">
      <w:pPr>
        <w:spacing w:after="0" w:line="240" w:lineRule="auto"/>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688D13BD" w14:textId="4BBEE734" w:rsidR="00D72843" w:rsidRPr="00D72843" w:rsidRDefault="00D72843" w:rsidP="00D72843">
      <w:pPr>
        <w:spacing w:after="0" w:line="240" w:lineRule="auto"/>
        <w:ind w:left="360"/>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B.3) Les offres </w:t>
      </w:r>
      <w:r w:rsidR="005475AC">
        <w:rPr>
          <w:rFonts w:ascii="Calibri" w:eastAsia="Times New Roman" w:hAnsi="Calibri" w:cs="Calibri"/>
          <w:spacing w:val="-5"/>
          <w:lang w:val="fr-FR"/>
        </w:rPr>
        <w:t xml:space="preserve">et échantillons pour lots </w:t>
      </w:r>
      <w:proofErr w:type="gramStart"/>
      <w:r w:rsidR="005475AC">
        <w:rPr>
          <w:rFonts w:ascii="Calibri" w:eastAsia="Times New Roman" w:hAnsi="Calibri" w:cs="Calibri"/>
          <w:spacing w:val="-5"/>
          <w:lang w:val="fr-FR"/>
        </w:rPr>
        <w:t xml:space="preserve">1 </w:t>
      </w:r>
      <w:r w:rsidR="00CF49DA">
        <w:rPr>
          <w:rFonts w:ascii="Calibri" w:eastAsia="Times New Roman" w:hAnsi="Calibri" w:cs="Calibri"/>
          <w:spacing w:val="-5"/>
          <w:lang w:val="fr-FR"/>
        </w:rPr>
        <w:t>,</w:t>
      </w:r>
      <w:proofErr w:type="gramEnd"/>
      <w:r w:rsidR="00CF49DA">
        <w:rPr>
          <w:rFonts w:ascii="Calibri" w:eastAsia="Times New Roman" w:hAnsi="Calibri" w:cs="Calibri"/>
          <w:spacing w:val="-5"/>
          <w:lang w:val="fr-FR"/>
        </w:rPr>
        <w:t xml:space="preserve">  </w:t>
      </w:r>
      <w:r w:rsidR="00142BFA">
        <w:rPr>
          <w:rFonts w:ascii="Calibri" w:eastAsia="Times New Roman" w:hAnsi="Calibri" w:cs="Calibri"/>
          <w:spacing w:val="-5"/>
          <w:lang w:val="fr-FR"/>
        </w:rPr>
        <w:t xml:space="preserve">2 ; </w:t>
      </w:r>
      <w:r w:rsidR="00CF49DA">
        <w:rPr>
          <w:rFonts w:ascii="Calibri" w:eastAsia="Times New Roman" w:hAnsi="Calibri" w:cs="Calibri"/>
          <w:spacing w:val="-5"/>
          <w:lang w:val="fr-FR"/>
        </w:rPr>
        <w:t>3</w:t>
      </w:r>
      <w:r w:rsidR="00142BFA">
        <w:rPr>
          <w:rFonts w:ascii="Calibri" w:eastAsia="Times New Roman" w:hAnsi="Calibri" w:cs="Calibri"/>
          <w:spacing w:val="-5"/>
          <w:lang w:val="fr-FR"/>
        </w:rPr>
        <w:t xml:space="preserve"> </w:t>
      </w:r>
      <w:r w:rsidRPr="00D72843">
        <w:rPr>
          <w:rFonts w:ascii="Calibri" w:eastAsia="Times New Roman" w:hAnsi="Calibri" w:cs="Calibri"/>
          <w:spacing w:val="-5"/>
          <w:lang w:val="fr-FR"/>
        </w:rPr>
        <w:t xml:space="preserve">doivent être reçues </w:t>
      </w:r>
      <w:r w:rsidRPr="002A76E7">
        <w:rPr>
          <w:rFonts w:ascii="Calibri" w:eastAsia="Times New Roman" w:hAnsi="Calibri" w:cs="Calibri"/>
          <w:spacing w:val="-5"/>
          <w:lang w:val="fr-FR"/>
        </w:rPr>
        <w:t xml:space="preserve">le </w:t>
      </w:r>
      <w:r w:rsidRPr="002A76E7">
        <w:rPr>
          <w:rFonts w:ascii="Calibri" w:eastAsia="Times New Roman" w:hAnsi="Calibri" w:cs="Calibri"/>
          <w:b/>
          <w:spacing w:val="-5"/>
          <w:vertAlign w:val="superscript"/>
          <w:lang w:val="fr-FR"/>
        </w:rPr>
        <w:t xml:space="preserve">  </w:t>
      </w:r>
      <w:r w:rsidR="004D1A53" w:rsidRPr="002A76E7">
        <w:rPr>
          <w:rFonts w:ascii="Calibri" w:eastAsia="Times New Roman" w:hAnsi="Calibri" w:cs="Calibri"/>
          <w:b/>
          <w:spacing w:val="-5"/>
          <w:lang w:val="fr-FR"/>
        </w:rPr>
        <w:t xml:space="preserve"> </w:t>
      </w:r>
      <w:r w:rsidR="00476D60">
        <w:rPr>
          <w:rFonts w:ascii="Calibri" w:eastAsia="Times New Roman" w:hAnsi="Calibri" w:cs="Calibri"/>
          <w:b/>
          <w:spacing w:val="-5"/>
          <w:lang w:val="fr-FR"/>
        </w:rPr>
        <w:t>vendredi</w:t>
      </w:r>
      <w:r w:rsidR="00416D94">
        <w:rPr>
          <w:rFonts w:ascii="Calibri" w:eastAsia="Times New Roman" w:hAnsi="Calibri" w:cs="Calibri"/>
          <w:b/>
          <w:spacing w:val="-5"/>
          <w:lang w:val="fr-FR"/>
        </w:rPr>
        <w:t xml:space="preserve"> </w:t>
      </w:r>
      <w:r w:rsidR="00476D60">
        <w:rPr>
          <w:rFonts w:ascii="Calibri" w:eastAsia="Times New Roman" w:hAnsi="Calibri" w:cs="Calibri"/>
          <w:b/>
          <w:spacing w:val="-5"/>
          <w:lang w:val="fr-FR"/>
        </w:rPr>
        <w:t>03</w:t>
      </w:r>
      <w:r w:rsidR="00CF49DA">
        <w:rPr>
          <w:rFonts w:ascii="Calibri" w:eastAsia="Times New Roman" w:hAnsi="Calibri" w:cs="Calibri"/>
          <w:b/>
          <w:spacing w:val="-5"/>
          <w:lang w:val="fr-FR"/>
        </w:rPr>
        <w:t xml:space="preserve"> </w:t>
      </w:r>
      <w:r w:rsidR="00476D60">
        <w:rPr>
          <w:rFonts w:ascii="Calibri" w:eastAsia="Times New Roman" w:hAnsi="Calibri" w:cs="Calibri"/>
          <w:b/>
          <w:spacing w:val="-5"/>
          <w:lang w:val="fr-FR"/>
        </w:rPr>
        <w:t xml:space="preserve">juin </w:t>
      </w:r>
      <w:r w:rsidR="00416D94">
        <w:rPr>
          <w:rFonts w:ascii="Calibri" w:eastAsia="Times New Roman" w:hAnsi="Calibri" w:cs="Calibri"/>
          <w:b/>
          <w:spacing w:val="-5"/>
          <w:lang w:val="fr-FR"/>
        </w:rPr>
        <w:t xml:space="preserve"> 202</w:t>
      </w:r>
      <w:r w:rsidR="00CF49DA">
        <w:rPr>
          <w:rFonts w:ascii="Calibri" w:eastAsia="Times New Roman" w:hAnsi="Calibri" w:cs="Calibri"/>
          <w:b/>
          <w:spacing w:val="-5"/>
          <w:lang w:val="fr-FR"/>
        </w:rPr>
        <w:t>2</w:t>
      </w:r>
      <w:r w:rsidR="00416D94">
        <w:rPr>
          <w:rFonts w:ascii="Calibri" w:eastAsia="Times New Roman" w:hAnsi="Calibri" w:cs="Calibri"/>
          <w:b/>
          <w:spacing w:val="-5"/>
          <w:lang w:val="fr-FR"/>
        </w:rPr>
        <w:t xml:space="preserve"> </w:t>
      </w:r>
      <w:r w:rsidRPr="002A76E7">
        <w:rPr>
          <w:rFonts w:ascii="Calibri" w:eastAsia="Times New Roman" w:hAnsi="Calibri" w:cs="Calibri"/>
          <w:b/>
          <w:spacing w:val="-5"/>
          <w:lang w:val="fr-FR"/>
        </w:rPr>
        <w:t xml:space="preserve">   à 1</w:t>
      </w:r>
      <w:r w:rsidR="00476D60">
        <w:rPr>
          <w:rFonts w:ascii="Calibri" w:eastAsia="Times New Roman" w:hAnsi="Calibri" w:cs="Calibri"/>
          <w:b/>
          <w:spacing w:val="-5"/>
          <w:lang w:val="fr-FR"/>
        </w:rPr>
        <w:t>3</w:t>
      </w:r>
      <w:r w:rsidRPr="002A76E7">
        <w:rPr>
          <w:rFonts w:ascii="Calibri" w:eastAsia="Times New Roman" w:hAnsi="Calibri" w:cs="Calibri"/>
          <w:b/>
          <w:spacing w:val="-5"/>
          <w:lang w:val="fr-FR"/>
        </w:rPr>
        <w:t xml:space="preserve"> :00 </w:t>
      </w:r>
      <w:r w:rsidRPr="002A76E7">
        <w:rPr>
          <w:rFonts w:ascii="Calibri" w:eastAsia="Times New Roman" w:hAnsi="Calibri" w:cs="Calibri"/>
          <w:spacing w:val="-5"/>
          <w:lang w:val="fr-FR"/>
        </w:rPr>
        <w:t>(Heure du Tchad).</w:t>
      </w:r>
      <w:r w:rsidRPr="00D72843">
        <w:rPr>
          <w:rFonts w:ascii="Calibri" w:eastAsia="Times New Roman" w:hAnsi="Calibri" w:cs="Calibri"/>
          <w:spacing w:val="-5"/>
          <w:lang w:val="fr-FR"/>
        </w:rPr>
        <w:t xml:space="preserve"> Les Offres soumises après cette date ne seront pas acceptées. </w:t>
      </w:r>
    </w:p>
    <w:p w14:paraId="073B1E98" w14:textId="77777777" w:rsidR="00D72843" w:rsidRPr="00D72843" w:rsidRDefault="00D72843" w:rsidP="00D72843">
      <w:pPr>
        <w:spacing w:after="0" w:line="240" w:lineRule="auto"/>
        <w:ind w:left="360"/>
        <w:jc w:val="both"/>
        <w:rPr>
          <w:rFonts w:ascii="Calibri" w:eastAsia="Times New Roman" w:hAnsi="Calibri" w:cs="Calibri"/>
          <w:spacing w:val="-5"/>
          <w:lang w:val="fr-FR"/>
        </w:rPr>
      </w:pPr>
    </w:p>
    <w:p w14:paraId="02115409" w14:textId="77777777" w:rsidR="00D72843" w:rsidRPr="00D72843" w:rsidRDefault="00D72843" w:rsidP="00D72843">
      <w:pPr>
        <w:spacing w:after="0" w:line="240" w:lineRule="auto"/>
        <w:ind w:left="360"/>
        <w:jc w:val="both"/>
        <w:rPr>
          <w:rFonts w:ascii="Calibri" w:eastAsia="Times New Roman" w:hAnsi="Calibri" w:cs="Calibri"/>
          <w:spacing w:val="-5"/>
          <w:lang w:val="fr-FR"/>
        </w:rPr>
      </w:pPr>
      <w:r w:rsidRPr="00D72843">
        <w:rPr>
          <w:rFonts w:ascii="Calibri" w:eastAsia="Calibri" w:hAnsi="Calibri" w:cs="Calibri"/>
          <w:lang w:val="fr-FR"/>
        </w:rPr>
        <w:t xml:space="preserve">B.4) Malaria Consortium doit </w:t>
      </w:r>
      <w:r w:rsidRPr="00D72843">
        <w:rPr>
          <w:rFonts w:ascii="Calibri" w:eastAsia="Times New Roman" w:hAnsi="Calibri" w:cs="Calibri"/>
          <w:spacing w:val="-5"/>
          <w:lang w:val="fr-FR"/>
        </w:rPr>
        <w:t xml:space="preserve">informer les soumissionnaires gagnants de l'appel d'offre par écrit dans les sept jours ouvrables. </w:t>
      </w:r>
      <w:r w:rsidRPr="00D72843">
        <w:rPr>
          <w:rFonts w:ascii="Calibri" w:eastAsia="Calibri" w:hAnsi="Calibri" w:cs="Calibri"/>
          <w:lang w:val="fr-FR"/>
        </w:rPr>
        <w:t>Malaria Consortium n’</w:t>
      </w:r>
      <w:r w:rsidRPr="00D72843">
        <w:rPr>
          <w:rFonts w:ascii="Calibri" w:eastAsia="Times New Roman" w:hAnsi="Calibri" w:cs="Calibri"/>
          <w:spacing w:val="-5"/>
          <w:lang w:val="fr-FR"/>
        </w:rPr>
        <w:t xml:space="preserve">est pas tenu de publier l'identité ou les termes du contrat du fournisseur gagnant. </w:t>
      </w:r>
    </w:p>
    <w:p w14:paraId="6DD19431" w14:textId="77777777" w:rsidR="00D72843" w:rsidRPr="00D72843" w:rsidRDefault="00D72843" w:rsidP="00D72843">
      <w:pPr>
        <w:spacing w:after="0" w:line="240" w:lineRule="auto"/>
        <w:ind w:left="993"/>
        <w:jc w:val="both"/>
        <w:rPr>
          <w:rFonts w:ascii="Calibri" w:eastAsia="Calibri" w:hAnsi="Calibri" w:cs="Calibri"/>
          <w:lang w:val="fr-FR"/>
        </w:rPr>
      </w:pPr>
    </w:p>
    <w:p w14:paraId="1C2EFB1D" w14:textId="77777777" w:rsidR="00D72843" w:rsidRPr="00D72843" w:rsidRDefault="00D72843" w:rsidP="00D72843">
      <w:pPr>
        <w:spacing w:after="0" w:line="240" w:lineRule="auto"/>
        <w:ind w:left="360"/>
        <w:jc w:val="both"/>
        <w:rPr>
          <w:rFonts w:ascii="Calibri" w:eastAsia="Calibri" w:hAnsi="Calibri" w:cs="Calibri"/>
          <w:lang w:val="fr-FR"/>
        </w:rPr>
      </w:pPr>
      <w:r w:rsidRPr="00D72843">
        <w:rPr>
          <w:rFonts w:ascii="Calibri" w:eastAsia="Times New Roman" w:hAnsi="Calibri" w:cs="Calibri"/>
          <w:spacing w:val="-5"/>
          <w:lang w:val="fr-FR"/>
        </w:rPr>
        <w:t xml:space="preserve">B.5) L’offre soumise doit inclure les informations suivantes. Le fait de ne pas fournir toutes les informations requises ou de ne pas se conformer aux modèles indiqués disqualifiera le soumissionnaire de la compétition.   </w:t>
      </w:r>
    </w:p>
    <w:p w14:paraId="516453E3" w14:textId="77777777" w:rsidR="00D72843" w:rsidRPr="00D72843" w:rsidRDefault="00D72843" w:rsidP="00D72843">
      <w:pPr>
        <w:spacing w:after="0" w:line="240" w:lineRule="auto"/>
        <w:jc w:val="both"/>
        <w:rPr>
          <w:rFonts w:ascii="Calibri" w:eastAsia="Calibri" w:hAnsi="Calibri" w:cs="Calibri"/>
          <w:lang w:val="fr-FR"/>
        </w:rPr>
      </w:pPr>
    </w:p>
    <w:p w14:paraId="10F308D4" w14:textId="77777777" w:rsidR="00D72843" w:rsidRPr="002A76E7" w:rsidRDefault="00D72843" w:rsidP="00E950CB">
      <w:pPr>
        <w:numPr>
          <w:ilvl w:val="0"/>
          <w:numId w:val="12"/>
        </w:numPr>
        <w:autoSpaceDE w:val="0"/>
        <w:autoSpaceDN w:val="0"/>
        <w:spacing w:after="0" w:line="240" w:lineRule="auto"/>
        <w:jc w:val="both"/>
        <w:rPr>
          <w:rFonts w:ascii="Calibri" w:eastAsia="Times New Roman" w:hAnsi="Calibri" w:cs="Calibri"/>
          <w:spacing w:val="-5"/>
          <w:lang w:val="fr-FR"/>
        </w:rPr>
      </w:pPr>
      <w:r w:rsidRPr="002A76E7">
        <w:rPr>
          <w:rFonts w:ascii="Calibri" w:eastAsia="Times New Roman" w:hAnsi="Calibri" w:cs="Calibri"/>
          <w:spacing w:val="-5"/>
          <w:lang w:val="fr-FR"/>
        </w:rPr>
        <w:t>Compléter le document de réponse du soumissionnaire, y compris les pièces jointes suivantes</w:t>
      </w:r>
    </w:p>
    <w:p w14:paraId="56A66CEE" w14:textId="77777777" w:rsidR="00D72843" w:rsidRPr="002A76E7" w:rsidRDefault="00D72843" w:rsidP="00E950CB">
      <w:pPr>
        <w:numPr>
          <w:ilvl w:val="0"/>
          <w:numId w:val="13"/>
        </w:numPr>
        <w:autoSpaceDE w:val="0"/>
        <w:autoSpaceDN w:val="0"/>
        <w:spacing w:after="0" w:line="240" w:lineRule="auto"/>
        <w:jc w:val="both"/>
        <w:rPr>
          <w:rFonts w:ascii="Calibri" w:eastAsia="Times New Roman" w:hAnsi="Calibri" w:cs="Calibri"/>
          <w:spacing w:val="-5"/>
          <w:lang w:val="fr-FR"/>
        </w:rPr>
      </w:pPr>
      <w:r w:rsidRPr="002A76E7">
        <w:rPr>
          <w:rFonts w:ascii="Calibri" w:eastAsia="Times New Roman" w:hAnsi="Calibri" w:cs="Calibri"/>
          <w:spacing w:val="-5"/>
          <w:lang w:val="fr-FR"/>
        </w:rPr>
        <w:t xml:space="preserve">Preuve d’assurances appropriées (question 3) </w:t>
      </w:r>
    </w:p>
    <w:p w14:paraId="49ADBDFA" w14:textId="77777777" w:rsidR="00D72843" w:rsidRPr="002A76E7" w:rsidRDefault="00D72843" w:rsidP="00E950CB">
      <w:pPr>
        <w:numPr>
          <w:ilvl w:val="0"/>
          <w:numId w:val="13"/>
        </w:numPr>
        <w:autoSpaceDE w:val="0"/>
        <w:autoSpaceDN w:val="0"/>
        <w:spacing w:after="0" w:line="240" w:lineRule="auto"/>
        <w:jc w:val="both"/>
        <w:rPr>
          <w:rFonts w:ascii="Calibri" w:eastAsia="Times New Roman" w:hAnsi="Calibri" w:cs="Calibri"/>
          <w:spacing w:val="-5"/>
          <w:lang w:val="fr-FR"/>
        </w:rPr>
      </w:pPr>
      <w:r w:rsidRPr="002A76E7">
        <w:rPr>
          <w:rFonts w:ascii="Calibri" w:eastAsia="Times New Roman" w:hAnsi="Calibri" w:cs="Calibri"/>
          <w:spacing w:val="-5"/>
          <w:lang w:val="fr-FR"/>
        </w:rPr>
        <w:t>Copies des politiques internes (question 5)</w:t>
      </w:r>
    </w:p>
    <w:p w14:paraId="295DFFA8" w14:textId="77777777" w:rsidR="00D72843" w:rsidRPr="00D72843" w:rsidRDefault="00D72843" w:rsidP="00E950CB">
      <w:pPr>
        <w:numPr>
          <w:ilvl w:val="0"/>
          <w:numId w:val="12"/>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Signature pour confirmer la conformité aux politiques de</w:t>
      </w:r>
      <w:r w:rsidRPr="00D72843">
        <w:rPr>
          <w:rFonts w:ascii="Calibri" w:eastAsia="Calibri" w:hAnsi="Calibri" w:cs="Calibri"/>
          <w:lang w:val="fr-FR"/>
        </w:rPr>
        <w:t xml:space="preserve"> Malaria Consortium</w:t>
      </w:r>
      <w:r w:rsidRPr="00D72843">
        <w:rPr>
          <w:rFonts w:ascii="Calibri" w:eastAsia="Times New Roman" w:hAnsi="Calibri" w:cs="Calibri"/>
          <w:spacing w:val="-5"/>
          <w:lang w:val="fr-FR"/>
        </w:rPr>
        <w:t xml:space="preserve"> (section 4) </w:t>
      </w:r>
    </w:p>
    <w:p w14:paraId="16258FB9" w14:textId="77777777" w:rsidR="00D72843" w:rsidRPr="00D72843" w:rsidRDefault="00D72843" w:rsidP="00E950CB">
      <w:pPr>
        <w:numPr>
          <w:ilvl w:val="0"/>
          <w:numId w:val="12"/>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Copies des documents d'enregistrement au registre de commerce (preuve d'exercice légal au Tchad). </w:t>
      </w:r>
    </w:p>
    <w:p w14:paraId="3A076ED2" w14:textId="77777777" w:rsidR="00D72843" w:rsidRPr="00D72843" w:rsidRDefault="00D72843" w:rsidP="00E950CB">
      <w:pPr>
        <w:numPr>
          <w:ilvl w:val="0"/>
          <w:numId w:val="12"/>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Référence bancaire a jour (lettre de garantie financière) </w:t>
      </w:r>
    </w:p>
    <w:p w14:paraId="4A33341F" w14:textId="77777777" w:rsidR="00D72843" w:rsidRPr="00D72843" w:rsidRDefault="00D72843" w:rsidP="00E950CB">
      <w:pPr>
        <w:numPr>
          <w:ilvl w:val="0"/>
          <w:numId w:val="12"/>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Offre financière  </w:t>
      </w:r>
    </w:p>
    <w:p w14:paraId="29636E31" w14:textId="77777777" w:rsidR="00D72843" w:rsidRPr="00D72843" w:rsidRDefault="00D72843" w:rsidP="00D72843">
      <w:pPr>
        <w:tabs>
          <w:tab w:val="num" w:pos="993"/>
        </w:tabs>
        <w:spacing w:after="0" w:line="240" w:lineRule="auto"/>
        <w:ind w:left="993" w:hanging="567"/>
        <w:jc w:val="both"/>
        <w:rPr>
          <w:rFonts w:ascii="Calibri" w:eastAsia="Calibri" w:hAnsi="Calibri" w:cs="Calibri"/>
          <w:lang w:val="fr-FR"/>
        </w:rPr>
      </w:pPr>
    </w:p>
    <w:p w14:paraId="66871AFA" w14:textId="77777777" w:rsidR="00D72843" w:rsidRPr="00D72843" w:rsidRDefault="00D72843" w:rsidP="00D72843">
      <w:pPr>
        <w:spacing w:after="0" w:line="240" w:lineRule="auto"/>
        <w:ind w:left="360"/>
        <w:jc w:val="both"/>
        <w:rPr>
          <w:rFonts w:ascii="Calibri" w:eastAsia="Calibri" w:hAnsi="Calibri" w:cs="Calibri"/>
          <w:lang w:val="fr-FR"/>
        </w:rPr>
      </w:pPr>
      <w:r w:rsidRPr="00D72843">
        <w:rPr>
          <w:rFonts w:ascii="Calibri" w:eastAsia="Calibri" w:hAnsi="Calibri" w:cs="Calibri"/>
          <w:lang w:val="fr-FR"/>
        </w:rPr>
        <w:t>B.6) Malaria Consortium</w:t>
      </w:r>
      <w:r w:rsidRPr="00D72843">
        <w:rPr>
          <w:rFonts w:ascii="Calibri" w:eastAsia="Times New Roman" w:hAnsi="Calibri" w:cs="Calibri"/>
          <w:spacing w:val="-5"/>
          <w:lang w:val="fr-FR"/>
        </w:rPr>
        <w:t xml:space="preserve"> se réserve le droit d'accepter ou de rejeter toutes les offres, et d’accepter l’offre jugée favorable au meilleur intérêt de </w:t>
      </w:r>
      <w:r w:rsidRPr="00D72843">
        <w:rPr>
          <w:rFonts w:ascii="Calibri" w:eastAsia="Calibri" w:hAnsi="Calibri" w:cs="Calibri"/>
          <w:lang w:val="fr-FR"/>
        </w:rPr>
        <w:t>Malaria Consortium</w:t>
      </w:r>
      <w:r w:rsidRPr="00D72843">
        <w:rPr>
          <w:rFonts w:ascii="Calibri" w:eastAsia="Times New Roman" w:hAnsi="Calibri" w:cs="Calibri"/>
          <w:spacing w:val="-5"/>
          <w:lang w:val="fr-FR"/>
        </w:rPr>
        <w:t xml:space="preserve">, et n'est pas obligé d’accepter l’offre financière la plus basse. </w:t>
      </w:r>
    </w:p>
    <w:p w14:paraId="6822C61B"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1916D91F" w14:textId="77777777" w:rsidR="00D72843" w:rsidRPr="00D72843" w:rsidRDefault="00D72843" w:rsidP="00D72843">
      <w:pPr>
        <w:spacing w:after="0" w:line="240" w:lineRule="auto"/>
        <w:ind w:left="360"/>
        <w:jc w:val="both"/>
        <w:rPr>
          <w:rFonts w:ascii="Calibri" w:eastAsia="Times New Roman" w:hAnsi="Calibri" w:cs="Calibri"/>
          <w:spacing w:val="-5"/>
          <w:lang w:val="fr-FR"/>
        </w:rPr>
      </w:pPr>
      <w:r w:rsidRPr="00D72843">
        <w:rPr>
          <w:rFonts w:ascii="Calibri" w:eastAsia="Calibri" w:hAnsi="Calibri" w:cs="Calibri"/>
          <w:lang w:val="fr-FR"/>
        </w:rPr>
        <w:t xml:space="preserve">B.7) Malaria Consortium </w:t>
      </w:r>
      <w:r w:rsidRPr="00D72843">
        <w:rPr>
          <w:rFonts w:ascii="Calibri" w:eastAsia="Times New Roman" w:hAnsi="Calibri" w:cs="Calibri"/>
          <w:spacing w:val="-5"/>
          <w:lang w:val="fr-FR"/>
        </w:rPr>
        <w:t xml:space="preserve">se réserve le droit d'attribuer les contrats à des contractants multiples sur un seul lot s’ils sont jugés favorables à son meilleur intérêt. </w:t>
      </w:r>
    </w:p>
    <w:p w14:paraId="1C942F8A" w14:textId="77777777" w:rsidR="00D72843" w:rsidRPr="00D72843" w:rsidRDefault="00D72843" w:rsidP="00D72843">
      <w:pPr>
        <w:spacing w:after="0" w:line="240" w:lineRule="auto"/>
        <w:ind w:left="360"/>
        <w:jc w:val="both"/>
        <w:rPr>
          <w:rFonts w:ascii="Calibri" w:eastAsia="Calibri" w:hAnsi="Calibri" w:cs="Calibri"/>
          <w:lang w:val="fr-FR"/>
        </w:rPr>
      </w:pPr>
    </w:p>
    <w:p w14:paraId="7BF07A3A" w14:textId="77777777" w:rsidR="00D72843" w:rsidRPr="00D72843" w:rsidRDefault="00D72843" w:rsidP="00D72843">
      <w:pPr>
        <w:spacing w:after="0" w:line="240" w:lineRule="auto"/>
        <w:ind w:left="360"/>
        <w:jc w:val="both"/>
        <w:rPr>
          <w:rFonts w:ascii="Calibri" w:eastAsia="Calibri" w:hAnsi="Calibri" w:cs="Calibri"/>
          <w:lang w:val="fr-FR"/>
        </w:rPr>
      </w:pPr>
      <w:r w:rsidRPr="00D72843">
        <w:rPr>
          <w:rFonts w:ascii="Calibri" w:eastAsia="Times New Roman" w:hAnsi="Calibri" w:cs="Calibri"/>
          <w:spacing w:val="-5"/>
          <w:lang w:val="fr-FR"/>
        </w:rPr>
        <w:lastRenderedPageBreak/>
        <w:t xml:space="preserve">B.8) Les critères d'attribution seront fondés sur la globalité des réponses à cet appel d’offres et sur le meilleur rapport qualité-prix, tout en prenant en compte les exigences du donneur, et les règlements internes de Malaria Consortium. L’attribution sera déterminée par un comité du personnel de </w:t>
      </w:r>
      <w:r w:rsidRPr="00D72843">
        <w:rPr>
          <w:rFonts w:ascii="Calibri" w:eastAsia="Calibri" w:hAnsi="Calibri" w:cs="Calibri"/>
          <w:lang w:val="fr-FR"/>
        </w:rPr>
        <w:t>Malaria Consortium.</w:t>
      </w:r>
    </w:p>
    <w:p w14:paraId="538DECA5" w14:textId="77777777" w:rsidR="00D72843" w:rsidRPr="00D72843" w:rsidRDefault="00D72843" w:rsidP="00D72843">
      <w:pPr>
        <w:spacing w:after="0" w:line="240" w:lineRule="auto"/>
        <w:jc w:val="both"/>
        <w:rPr>
          <w:rFonts w:ascii="Calibri" w:eastAsia="Calibri" w:hAnsi="Calibri" w:cs="Calibri"/>
          <w:lang w:val="fr-FR"/>
        </w:rPr>
      </w:pPr>
    </w:p>
    <w:p w14:paraId="06BC4D3D" w14:textId="77777777" w:rsidR="00D72843" w:rsidRPr="00D72843" w:rsidRDefault="00D72843" w:rsidP="00D72843">
      <w:pPr>
        <w:spacing w:after="0" w:line="240" w:lineRule="auto"/>
        <w:ind w:left="360"/>
        <w:jc w:val="both"/>
        <w:rPr>
          <w:rFonts w:ascii="Calibri" w:eastAsia="Calibri" w:hAnsi="Calibri" w:cs="Calibri"/>
          <w:lang w:val="fr-FR"/>
        </w:rPr>
      </w:pPr>
      <w:r w:rsidRPr="00D72843">
        <w:rPr>
          <w:rFonts w:ascii="Calibri" w:eastAsia="Times New Roman" w:hAnsi="Calibri" w:cs="Calibri"/>
          <w:spacing w:val="-5"/>
          <w:lang w:val="fr-FR"/>
        </w:rPr>
        <w:t xml:space="preserve">B.9) Tous les soumissionnaires seront contrôlés contre les listes de sanctions suivantes : </w:t>
      </w:r>
    </w:p>
    <w:p w14:paraId="00EBC1BB" w14:textId="77777777" w:rsidR="00D72843" w:rsidRPr="00D72843" w:rsidRDefault="00D72843" w:rsidP="00E950CB">
      <w:pPr>
        <w:numPr>
          <w:ilvl w:val="0"/>
          <w:numId w:val="2"/>
        </w:numPr>
        <w:autoSpaceDE w:val="0"/>
        <w:autoSpaceDN w:val="0"/>
        <w:spacing w:after="0" w:line="240" w:lineRule="auto"/>
        <w:ind w:left="1418" w:hanging="425"/>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Liste de la </w:t>
      </w:r>
      <w:proofErr w:type="gramStart"/>
      <w:r w:rsidRPr="00D72843">
        <w:rPr>
          <w:rFonts w:ascii="Calibri" w:eastAsia="Times New Roman" w:hAnsi="Calibri" w:cs="Calibri"/>
          <w:spacing w:val="-5"/>
          <w:lang w:val="fr-FR"/>
        </w:rPr>
        <w:t>trésorerie  Britannique</w:t>
      </w:r>
      <w:proofErr w:type="gramEnd"/>
      <w:r w:rsidRPr="00D72843">
        <w:rPr>
          <w:rFonts w:ascii="Calibri" w:eastAsia="Times New Roman" w:hAnsi="Calibri" w:cs="Calibri"/>
          <w:spacing w:val="-5"/>
          <w:lang w:val="fr-FR"/>
        </w:rPr>
        <w:t xml:space="preserve"> </w:t>
      </w:r>
    </w:p>
    <w:p w14:paraId="6F73C89F" w14:textId="77777777" w:rsidR="00D72843" w:rsidRPr="00D72843" w:rsidRDefault="00D72843" w:rsidP="00E950CB">
      <w:pPr>
        <w:numPr>
          <w:ilvl w:val="0"/>
          <w:numId w:val="2"/>
        </w:numPr>
        <w:autoSpaceDE w:val="0"/>
        <w:autoSpaceDN w:val="0"/>
        <w:spacing w:after="0" w:line="240" w:lineRule="auto"/>
        <w:ind w:left="1418" w:hanging="425"/>
        <w:jc w:val="both"/>
        <w:rPr>
          <w:rFonts w:ascii="Calibri" w:eastAsia="Times New Roman" w:hAnsi="Calibri" w:cs="Calibri"/>
          <w:spacing w:val="-5"/>
          <w:lang w:val="en-GB"/>
        </w:rPr>
      </w:pPr>
      <w:proofErr w:type="spellStart"/>
      <w:r w:rsidRPr="00D72843">
        <w:rPr>
          <w:rFonts w:ascii="Calibri" w:eastAsia="Times New Roman" w:hAnsi="Calibri" w:cs="Calibri"/>
          <w:spacing w:val="-5"/>
          <w:lang w:val="en-GB"/>
        </w:rPr>
        <w:t>Liste</w:t>
      </w:r>
      <w:proofErr w:type="spellEnd"/>
      <w:r w:rsidRPr="00D72843">
        <w:rPr>
          <w:rFonts w:ascii="Calibri" w:eastAsia="Times New Roman" w:hAnsi="Calibri" w:cs="Calibri"/>
          <w:spacing w:val="-5"/>
          <w:lang w:val="en-GB"/>
        </w:rPr>
        <w:t xml:space="preserve"> d’ EC </w:t>
      </w:r>
    </w:p>
    <w:p w14:paraId="47E4639D" w14:textId="77777777" w:rsidR="00D72843" w:rsidRPr="00D72843" w:rsidRDefault="00D72843" w:rsidP="00E950CB">
      <w:pPr>
        <w:numPr>
          <w:ilvl w:val="0"/>
          <w:numId w:val="2"/>
        </w:numPr>
        <w:autoSpaceDE w:val="0"/>
        <w:autoSpaceDN w:val="0"/>
        <w:spacing w:after="0" w:line="240" w:lineRule="auto"/>
        <w:ind w:left="1418" w:hanging="425"/>
        <w:jc w:val="both"/>
        <w:rPr>
          <w:rFonts w:ascii="Calibri" w:eastAsia="Times New Roman" w:hAnsi="Calibri" w:cs="Calibri"/>
          <w:spacing w:val="-5"/>
          <w:lang w:val="en-GB"/>
        </w:rPr>
      </w:pPr>
      <w:proofErr w:type="spellStart"/>
      <w:r w:rsidRPr="00D72843">
        <w:rPr>
          <w:rFonts w:ascii="Calibri" w:eastAsia="Times New Roman" w:hAnsi="Calibri" w:cs="Calibri"/>
          <w:spacing w:val="-5"/>
          <w:lang w:val="en-GB"/>
        </w:rPr>
        <w:t>Liste</w:t>
      </w:r>
      <w:proofErr w:type="spellEnd"/>
      <w:r w:rsidRPr="00D72843">
        <w:rPr>
          <w:rFonts w:ascii="Calibri" w:eastAsia="Times New Roman" w:hAnsi="Calibri" w:cs="Calibri"/>
          <w:spacing w:val="-5"/>
          <w:lang w:val="en-GB"/>
        </w:rPr>
        <w:t xml:space="preserve"> </w:t>
      </w:r>
      <w:proofErr w:type="spellStart"/>
      <w:r w:rsidRPr="00D72843">
        <w:rPr>
          <w:rFonts w:ascii="Calibri" w:eastAsia="Times New Roman" w:hAnsi="Calibri" w:cs="Calibri"/>
          <w:spacing w:val="-5"/>
          <w:lang w:val="en-GB"/>
        </w:rPr>
        <w:t>d'OFAC</w:t>
      </w:r>
      <w:proofErr w:type="spellEnd"/>
      <w:r w:rsidRPr="00D72843">
        <w:rPr>
          <w:rFonts w:ascii="Calibri" w:eastAsia="Times New Roman" w:hAnsi="Calibri" w:cs="Calibri"/>
          <w:spacing w:val="-5"/>
          <w:lang w:val="en-GB"/>
        </w:rPr>
        <w:t xml:space="preserve"> </w:t>
      </w:r>
    </w:p>
    <w:p w14:paraId="4A5E7A6D" w14:textId="3D4CDFDD" w:rsidR="00D72843" w:rsidRPr="00A31081" w:rsidRDefault="00D72843" w:rsidP="00A31081">
      <w:pPr>
        <w:numPr>
          <w:ilvl w:val="0"/>
          <w:numId w:val="2"/>
        </w:numPr>
        <w:autoSpaceDE w:val="0"/>
        <w:autoSpaceDN w:val="0"/>
        <w:spacing w:after="0" w:line="240" w:lineRule="auto"/>
        <w:ind w:left="1418" w:hanging="425"/>
        <w:jc w:val="both"/>
        <w:rPr>
          <w:rFonts w:ascii="Calibri" w:eastAsia="Times New Roman" w:hAnsi="Calibri" w:cs="Calibri"/>
          <w:spacing w:val="-5"/>
          <w:lang w:val="fr-FR"/>
        </w:rPr>
      </w:pPr>
      <w:r w:rsidRPr="00D72843">
        <w:rPr>
          <w:rFonts w:ascii="Calibri" w:eastAsia="Times New Roman" w:hAnsi="Calibri" w:cs="Calibri"/>
          <w:color w:val="FF0000"/>
          <w:spacing w:val="-5"/>
          <w:lang w:val="fr-FR"/>
        </w:rPr>
        <w:t xml:space="preserve"> </w:t>
      </w:r>
      <w:r w:rsidRPr="00D72843">
        <w:rPr>
          <w:rFonts w:ascii="Calibri" w:eastAsia="Times New Roman" w:hAnsi="Calibri" w:cs="Calibri"/>
          <w:spacing w:val="-5"/>
          <w:lang w:val="fr-FR"/>
        </w:rPr>
        <w:t>L’autorité des marchés publics et de la cession des biens public</w:t>
      </w:r>
    </w:p>
    <w:p w14:paraId="258B80B0" w14:textId="6EA9A1C4" w:rsidR="00D72843" w:rsidRPr="00D72843" w:rsidRDefault="00D72843" w:rsidP="00D72843">
      <w:pPr>
        <w:spacing w:after="0" w:line="240" w:lineRule="auto"/>
        <w:ind w:left="360"/>
        <w:jc w:val="both"/>
        <w:rPr>
          <w:rFonts w:ascii="Calibri" w:eastAsia="Calibri" w:hAnsi="Calibri" w:cs="Calibri"/>
          <w:lang w:val="fr-FR"/>
        </w:rPr>
      </w:pPr>
      <w:r w:rsidRPr="00D72843">
        <w:rPr>
          <w:rFonts w:ascii="Calibri" w:eastAsia="Times New Roman" w:hAnsi="Calibri" w:cs="Calibri"/>
          <w:spacing w:val="-5"/>
          <w:lang w:val="fr-FR"/>
        </w:rPr>
        <w:t>B.10) Le</w:t>
      </w:r>
      <w:r w:rsidR="00653BF9">
        <w:rPr>
          <w:rFonts w:ascii="Calibri" w:eastAsia="Times New Roman" w:hAnsi="Calibri" w:cs="Calibri"/>
          <w:spacing w:val="-5"/>
          <w:lang w:val="fr-FR"/>
        </w:rPr>
        <w:t>s</w:t>
      </w:r>
      <w:r w:rsidRPr="00D72843">
        <w:rPr>
          <w:rFonts w:ascii="Calibri" w:eastAsia="Times New Roman" w:hAnsi="Calibri" w:cs="Calibri"/>
          <w:spacing w:val="-5"/>
          <w:lang w:val="fr-FR"/>
        </w:rPr>
        <w:t xml:space="preserve"> fournisseur</w:t>
      </w:r>
      <w:r w:rsidR="00653BF9">
        <w:rPr>
          <w:rFonts w:ascii="Calibri" w:eastAsia="Times New Roman" w:hAnsi="Calibri" w:cs="Calibri"/>
          <w:spacing w:val="-5"/>
          <w:lang w:val="fr-FR"/>
        </w:rPr>
        <w:t>s</w:t>
      </w:r>
      <w:r w:rsidRPr="00D72843">
        <w:rPr>
          <w:rFonts w:ascii="Calibri" w:eastAsia="Times New Roman" w:hAnsi="Calibri" w:cs="Calibri"/>
          <w:spacing w:val="-5"/>
          <w:lang w:val="fr-FR"/>
        </w:rPr>
        <w:t xml:space="preserve"> gagnant</w:t>
      </w:r>
      <w:r w:rsidR="005475AC">
        <w:rPr>
          <w:rFonts w:ascii="Calibri" w:eastAsia="Times New Roman" w:hAnsi="Calibri" w:cs="Calibri"/>
          <w:spacing w:val="-5"/>
          <w:lang w:val="fr-FR"/>
        </w:rPr>
        <w:t>s</w:t>
      </w:r>
      <w:r w:rsidRPr="00D72843">
        <w:rPr>
          <w:rFonts w:ascii="Calibri" w:eastAsia="Times New Roman" w:hAnsi="Calibri" w:cs="Calibri"/>
          <w:spacing w:val="-5"/>
          <w:lang w:val="fr-FR"/>
        </w:rPr>
        <w:t xml:space="preserve"> recevr</w:t>
      </w:r>
      <w:r w:rsidR="00653BF9">
        <w:rPr>
          <w:rFonts w:ascii="Calibri" w:eastAsia="Times New Roman" w:hAnsi="Calibri" w:cs="Calibri"/>
          <w:spacing w:val="-5"/>
          <w:lang w:val="fr-FR"/>
        </w:rPr>
        <w:t>ont</w:t>
      </w:r>
      <w:r w:rsidRPr="00D72843">
        <w:rPr>
          <w:rFonts w:ascii="Calibri" w:eastAsia="Times New Roman" w:hAnsi="Calibri" w:cs="Calibri"/>
          <w:spacing w:val="-5"/>
          <w:lang w:val="fr-FR"/>
        </w:rPr>
        <w:t xml:space="preserve"> un contrat pour la période des services requis, qui peut être prolongée </w:t>
      </w:r>
      <w:proofErr w:type="gramStart"/>
      <w:r w:rsidRPr="00D72843">
        <w:rPr>
          <w:rFonts w:ascii="Calibri" w:eastAsia="Times New Roman" w:hAnsi="Calibri" w:cs="Calibri"/>
          <w:spacing w:val="-5"/>
          <w:lang w:val="fr-FR"/>
        </w:rPr>
        <w:t>suite à</w:t>
      </w:r>
      <w:proofErr w:type="gramEnd"/>
      <w:r w:rsidRPr="00D72843">
        <w:rPr>
          <w:rFonts w:ascii="Calibri" w:eastAsia="Times New Roman" w:hAnsi="Calibri" w:cs="Calibri"/>
          <w:spacing w:val="-5"/>
          <w:lang w:val="fr-FR"/>
        </w:rPr>
        <w:t xml:space="preserve"> l'accord des deux parties.   </w:t>
      </w:r>
    </w:p>
    <w:p w14:paraId="73D4B8A6" w14:textId="77777777" w:rsidR="00D72843" w:rsidRPr="00D72843" w:rsidRDefault="00D72843" w:rsidP="00D72843">
      <w:pPr>
        <w:spacing w:after="0" w:line="240" w:lineRule="auto"/>
        <w:ind w:left="993"/>
        <w:jc w:val="both"/>
        <w:rPr>
          <w:rFonts w:ascii="Calibri" w:eastAsia="Calibri" w:hAnsi="Calibri" w:cs="Calibri"/>
          <w:lang w:val="fr-FR"/>
        </w:rPr>
      </w:pPr>
    </w:p>
    <w:p w14:paraId="5D5B20D5" w14:textId="3AD375B8" w:rsidR="00D72843" w:rsidRDefault="00D72843" w:rsidP="00422E8A">
      <w:pPr>
        <w:spacing w:after="0" w:line="240" w:lineRule="auto"/>
        <w:ind w:left="360"/>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B.11) La langue de communication est le Français et les documents exigés sont également en français.  </w:t>
      </w:r>
    </w:p>
    <w:p w14:paraId="5D57EFC8" w14:textId="77777777" w:rsidR="005475AC" w:rsidRPr="00D72843" w:rsidRDefault="005475AC" w:rsidP="00422E8A">
      <w:pPr>
        <w:spacing w:after="0" w:line="240" w:lineRule="auto"/>
        <w:ind w:left="360"/>
        <w:jc w:val="both"/>
        <w:rPr>
          <w:rFonts w:ascii="Calibri" w:eastAsia="Calibri" w:hAnsi="Calibri" w:cs="Times New Roman"/>
          <w:b/>
          <w:sz w:val="28"/>
          <w:szCs w:val="28"/>
          <w:lang w:val="fr-FR"/>
        </w:rPr>
      </w:pPr>
    </w:p>
    <w:p w14:paraId="0C078152" w14:textId="77777777" w:rsidR="00D72843" w:rsidRPr="007F7A2C" w:rsidRDefault="00D72843" w:rsidP="00E950CB">
      <w:pPr>
        <w:keepNext/>
        <w:numPr>
          <w:ilvl w:val="0"/>
          <w:numId w:val="11"/>
        </w:numPr>
        <w:spacing w:after="0" w:line="240" w:lineRule="auto"/>
        <w:jc w:val="both"/>
        <w:outlineLvl w:val="3"/>
        <w:rPr>
          <w:rFonts w:ascii="Calibri" w:eastAsia="Times New Roman" w:hAnsi="Calibri" w:cs="Calibri"/>
          <w:b/>
          <w:bCs/>
          <w:spacing w:val="-5"/>
          <w:u w:val="single"/>
          <w:lang w:val="fr-FR"/>
        </w:rPr>
      </w:pPr>
      <w:r w:rsidRPr="007F7A2C">
        <w:rPr>
          <w:rFonts w:ascii="Calibri" w:eastAsia="Times New Roman" w:hAnsi="Calibri" w:cs="Calibri"/>
          <w:b/>
          <w:spacing w:val="-5"/>
          <w:u w:val="single"/>
          <w:lang w:val="fr-FR"/>
        </w:rPr>
        <w:t xml:space="preserve">Exigences Techniques et Caractéristiques  </w:t>
      </w:r>
    </w:p>
    <w:p w14:paraId="6E5E73A7" w14:textId="77777777" w:rsidR="00416D94" w:rsidRPr="00D72843" w:rsidRDefault="00416D94" w:rsidP="00F23C44">
      <w:pPr>
        <w:spacing w:after="0" w:line="240" w:lineRule="auto"/>
        <w:jc w:val="both"/>
        <w:rPr>
          <w:rFonts w:ascii="Calibri" w:eastAsia="Times New Roman" w:hAnsi="Calibri" w:cs="Calibri"/>
          <w:b/>
          <w:spacing w:val="-5"/>
          <w:lang w:val="fr-FR"/>
        </w:rPr>
      </w:pPr>
    </w:p>
    <w:p w14:paraId="5223B196" w14:textId="77777777" w:rsidR="00553981" w:rsidRPr="00C40FF2" w:rsidRDefault="00553981" w:rsidP="00553981">
      <w:pPr>
        <w:pStyle w:val="Heading4"/>
        <w:jc w:val="both"/>
        <w:rPr>
          <w:rFonts w:asciiTheme="minorHAnsi" w:hAnsiTheme="minorHAnsi" w:cstheme="minorHAnsi"/>
          <w:sz w:val="22"/>
          <w:szCs w:val="22"/>
          <w:lang w:val="fr-FR"/>
        </w:rPr>
      </w:pPr>
      <w:r w:rsidRPr="00C40FF2">
        <w:rPr>
          <w:rFonts w:asciiTheme="minorHAnsi" w:hAnsiTheme="minorHAnsi" w:cstheme="minorHAnsi"/>
          <w:sz w:val="22"/>
          <w:szCs w:val="22"/>
          <w:lang w:val="fr-FR"/>
        </w:rPr>
        <w:t xml:space="preserve">C EXIGENCES TECHNIQUES et SPECIFICATIONS  </w:t>
      </w:r>
    </w:p>
    <w:p w14:paraId="3E609D23" w14:textId="77777777" w:rsidR="00553981" w:rsidRPr="00C40FF2" w:rsidRDefault="00553981" w:rsidP="00553981">
      <w:pPr>
        <w:rPr>
          <w:rFonts w:cstheme="minorHAnsi"/>
          <w:lang w:val="fr-FR"/>
        </w:rPr>
      </w:pPr>
    </w:p>
    <w:p w14:paraId="0ED2CFBD" w14:textId="3EC8E24E" w:rsidR="00553981" w:rsidRPr="008A5300" w:rsidRDefault="00553981" w:rsidP="00553981">
      <w:pPr>
        <w:jc w:val="both"/>
        <w:rPr>
          <w:rFonts w:eastAsia="Calibri" w:cstheme="minorHAnsi"/>
          <w:b/>
          <w:lang w:val="fr-FR"/>
        </w:rPr>
      </w:pPr>
      <w:r w:rsidRPr="00C40FF2">
        <w:rPr>
          <w:rFonts w:eastAsia="Calibri" w:cstheme="minorHAnsi"/>
          <w:b/>
          <w:lang w:val="fr-FR"/>
        </w:rPr>
        <w:t>C1) ETENDU</w:t>
      </w:r>
      <w:r>
        <w:rPr>
          <w:rFonts w:eastAsia="Calibri" w:cstheme="minorHAnsi"/>
          <w:b/>
          <w:lang w:val="fr-FR"/>
        </w:rPr>
        <w:t>E</w:t>
      </w:r>
      <w:r w:rsidRPr="00C40FF2">
        <w:rPr>
          <w:rFonts w:eastAsia="Calibri" w:cstheme="minorHAnsi"/>
          <w:b/>
          <w:lang w:val="fr-FR"/>
        </w:rPr>
        <w:t> :</w:t>
      </w:r>
    </w:p>
    <w:p w14:paraId="48121B6E" w14:textId="3B9EAC31" w:rsidR="00553981" w:rsidRPr="00C40FF2" w:rsidRDefault="00553981" w:rsidP="008A5300">
      <w:pPr>
        <w:jc w:val="both"/>
        <w:rPr>
          <w:rFonts w:cstheme="minorHAnsi"/>
          <w:lang w:val="fr-FR"/>
        </w:rPr>
      </w:pPr>
      <w:r w:rsidRPr="00C40FF2">
        <w:rPr>
          <w:rFonts w:cstheme="minorHAnsi"/>
          <w:lang w:val="fr-FR"/>
        </w:rPr>
        <w:t>Malaria Consortium met en œuvre des programmes de chimio prévention du paludisme saisonnier (CPS) au Tchad depuis 20</w:t>
      </w:r>
      <w:r>
        <w:rPr>
          <w:rFonts w:cstheme="minorHAnsi"/>
          <w:lang w:val="fr-FR"/>
        </w:rPr>
        <w:t>15 et opère actuellement dans</w:t>
      </w:r>
      <w:r w:rsidRPr="00373D4F">
        <w:rPr>
          <w:rFonts w:cstheme="minorHAnsi"/>
          <w:lang w:val="fr-FR"/>
        </w:rPr>
        <w:t xml:space="preserve"> </w:t>
      </w:r>
      <w:r w:rsidRPr="00FF4F77">
        <w:rPr>
          <w:rFonts w:cstheme="minorHAnsi"/>
          <w:lang w:val="fr-FR"/>
        </w:rPr>
        <w:t>2</w:t>
      </w:r>
      <w:r>
        <w:rPr>
          <w:rFonts w:cstheme="minorHAnsi"/>
          <w:lang w:val="fr-FR"/>
        </w:rPr>
        <w:t>6</w:t>
      </w:r>
      <w:r w:rsidRPr="00FF4F77">
        <w:rPr>
          <w:rFonts w:cstheme="minorHAnsi"/>
          <w:lang w:val="fr-FR"/>
        </w:rPr>
        <w:t xml:space="preserve"> districts sanitaires </w:t>
      </w:r>
      <w:r w:rsidRPr="00C40FF2">
        <w:rPr>
          <w:rFonts w:cstheme="minorHAnsi"/>
          <w:lang w:val="fr-FR"/>
        </w:rPr>
        <w:t xml:space="preserve">du pays, </w:t>
      </w:r>
      <w:r w:rsidRPr="009E397D">
        <w:rPr>
          <w:rFonts w:cstheme="minorHAnsi"/>
          <w:lang w:val="fr-FR"/>
        </w:rPr>
        <w:t>notamment dans les provinces</w:t>
      </w:r>
      <w:r>
        <w:rPr>
          <w:rFonts w:cstheme="minorHAnsi"/>
          <w:lang w:val="fr-FR"/>
        </w:rPr>
        <w:t xml:space="preserve"> de</w:t>
      </w:r>
      <w:r w:rsidRPr="00C40FF2">
        <w:rPr>
          <w:rFonts w:cstheme="minorHAnsi"/>
          <w:lang w:val="fr-FR"/>
        </w:rPr>
        <w:t xml:space="preserve"> </w:t>
      </w:r>
      <w:proofErr w:type="spellStart"/>
      <w:r>
        <w:rPr>
          <w:rFonts w:cstheme="minorHAnsi"/>
          <w:lang w:val="fr-FR"/>
        </w:rPr>
        <w:t>Batha</w:t>
      </w:r>
      <w:proofErr w:type="spellEnd"/>
      <w:r>
        <w:rPr>
          <w:rFonts w:cstheme="minorHAnsi"/>
          <w:lang w:val="fr-FR"/>
        </w:rPr>
        <w:t xml:space="preserve">, </w:t>
      </w:r>
      <w:proofErr w:type="spellStart"/>
      <w:r>
        <w:rPr>
          <w:rFonts w:cstheme="minorHAnsi"/>
          <w:lang w:val="fr-FR"/>
        </w:rPr>
        <w:t>Barh</w:t>
      </w:r>
      <w:proofErr w:type="spellEnd"/>
      <w:r>
        <w:rPr>
          <w:rFonts w:cstheme="minorHAnsi"/>
          <w:lang w:val="fr-FR"/>
        </w:rPr>
        <w:t xml:space="preserve"> EL Gazal, </w:t>
      </w:r>
      <w:r w:rsidRPr="00C40FF2">
        <w:rPr>
          <w:rFonts w:cstheme="minorHAnsi"/>
          <w:lang w:val="fr-FR"/>
        </w:rPr>
        <w:t xml:space="preserve">Chari Baguirmi, </w:t>
      </w:r>
      <w:proofErr w:type="spellStart"/>
      <w:r w:rsidRPr="00C40FF2">
        <w:rPr>
          <w:rFonts w:cstheme="minorHAnsi"/>
          <w:lang w:val="fr-FR"/>
        </w:rPr>
        <w:t>Hadjer</w:t>
      </w:r>
      <w:proofErr w:type="spellEnd"/>
      <w:r w:rsidRPr="00C40FF2">
        <w:rPr>
          <w:rFonts w:cstheme="minorHAnsi"/>
          <w:lang w:val="fr-FR"/>
        </w:rPr>
        <w:t xml:space="preserve"> </w:t>
      </w:r>
      <w:proofErr w:type="spellStart"/>
      <w:r w:rsidRPr="00C40FF2">
        <w:rPr>
          <w:rFonts w:cstheme="minorHAnsi"/>
          <w:lang w:val="fr-FR"/>
        </w:rPr>
        <w:t>Lamis</w:t>
      </w:r>
      <w:proofErr w:type="spellEnd"/>
      <w:r w:rsidRPr="00C40FF2">
        <w:rPr>
          <w:rFonts w:cstheme="minorHAnsi"/>
          <w:lang w:val="fr-FR"/>
        </w:rPr>
        <w:t xml:space="preserve">, Mayo </w:t>
      </w:r>
      <w:proofErr w:type="spellStart"/>
      <w:r w:rsidRPr="00C40FF2">
        <w:rPr>
          <w:rFonts w:cstheme="minorHAnsi"/>
          <w:lang w:val="fr-FR"/>
        </w:rPr>
        <w:t>Kebbi</w:t>
      </w:r>
      <w:proofErr w:type="spellEnd"/>
      <w:r w:rsidRPr="00C40FF2">
        <w:rPr>
          <w:rFonts w:cstheme="minorHAnsi"/>
          <w:lang w:val="fr-FR"/>
        </w:rPr>
        <w:t xml:space="preserve"> Est et N’Djaména. Le protocole de la CPS exige quatre cycles de distribution de médicaments, qui se chevauchent à peu près entre la saison des pluies et le début de la saison sèche, </w:t>
      </w:r>
      <w:r w:rsidRPr="009E397D">
        <w:rPr>
          <w:rFonts w:cstheme="minorHAnsi"/>
          <w:lang w:val="fr-FR"/>
        </w:rPr>
        <w:t>lorsque</w:t>
      </w:r>
      <w:r>
        <w:rPr>
          <w:rFonts w:cstheme="minorHAnsi"/>
          <w:lang w:val="fr-FR"/>
        </w:rPr>
        <w:t xml:space="preserve"> </w:t>
      </w:r>
      <w:r w:rsidRPr="00C40FF2">
        <w:rPr>
          <w:rFonts w:cstheme="minorHAnsi"/>
          <w:lang w:val="fr-FR"/>
        </w:rPr>
        <w:t xml:space="preserve">les moustiques </w:t>
      </w:r>
      <w:r w:rsidRPr="009E397D">
        <w:rPr>
          <w:rFonts w:cstheme="minorHAnsi"/>
          <w:lang w:val="fr-FR"/>
        </w:rPr>
        <w:t>sont plus</w:t>
      </w:r>
      <w:r w:rsidRPr="00C40FF2">
        <w:rPr>
          <w:rFonts w:cstheme="minorHAnsi"/>
          <w:lang w:val="fr-FR"/>
        </w:rPr>
        <w:t xml:space="preserve"> actifs et la transmission du </w:t>
      </w:r>
      <w:r w:rsidRPr="009E397D">
        <w:rPr>
          <w:rFonts w:cstheme="minorHAnsi"/>
          <w:lang w:val="fr-FR"/>
        </w:rPr>
        <w:t>paludisme plus</w:t>
      </w:r>
      <w:r w:rsidRPr="00C40FF2">
        <w:rPr>
          <w:rFonts w:cstheme="minorHAnsi"/>
          <w:lang w:val="fr-FR"/>
        </w:rPr>
        <w:t xml:space="preserve"> élevée. Tous les ménages dans les quatre Délégations doivent être visités, et tous les enfants de moins de 5 ans doivent être traités </w:t>
      </w:r>
      <w:r>
        <w:rPr>
          <w:rFonts w:cstheme="minorHAnsi"/>
          <w:lang w:val="fr-FR"/>
        </w:rPr>
        <w:t xml:space="preserve">à chaque cycle. Cela représente </w:t>
      </w:r>
      <w:r w:rsidRPr="009E397D">
        <w:rPr>
          <w:rFonts w:cstheme="minorHAnsi"/>
          <w:lang w:val="fr-FR"/>
        </w:rPr>
        <w:t>1 080 566 d’enfants âgés de 3 à 59 mois</w:t>
      </w:r>
      <w:r w:rsidRPr="00C40FF2">
        <w:rPr>
          <w:rFonts w:cstheme="minorHAnsi"/>
          <w:lang w:val="fr-FR"/>
        </w:rPr>
        <w:t xml:space="preserve">, recevant des médicaments antipaludéens (SP-AQ) tous les mois, entre juillet et octobre.  </w:t>
      </w:r>
    </w:p>
    <w:p w14:paraId="66F6D0E5" w14:textId="5140B62E" w:rsidR="00553981" w:rsidRPr="008A5300" w:rsidRDefault="00553981" w:rsidP="008A5300">
      <w:pPr>
        <w:jc w:val="both"/>
        <w:rPr>
          <w:rFonts w:eastAsia="Calibri" w:cstheme="minorHAnsi"/>
          <w:b/>
          <w:lang w:val="fr-FR"/>
        </w:rPr>
      </w:pPr>
      <w:r w:rsidRPr="00C40FF2">
        <w:rPr>
          <w:rFonts w:eastAsia="Calibri" w:cstheme="minorHAnsi"/>
          <w:b/>
          <w:lang w:val="fr-FR"/>
        </w:rPr>
        <w:t xml:space="preserve">C2) SPECIFICATIONS </w:t>
      </w:r>
    </w:p>
    <w:p w14:paraId="3E2D8E13" w14:textId="3A99EF82" w:rsidR="00553981" w:rsidRPr="00C40FF2" w:rsidRDefault="00553981" w:rsidP="00553981">
      <w:pPr>
        <w:rPr>
          <w:rFonts w:cstheme="minorHAnsi"/>
          <w:lang w:val="fr-FR"/>
        </w:rPr>
      </w:pPr>
      <w:r w:rsidRPr="00C40FF2">
        <w:rPr>
          <w:rFonts w:cstheme="minorHAnsi"/>
          <w:lang w:val="fr-FR"/>
        </w:rPr>
        <w:t xml:space="preserve">Malaria Consortium est à la recherche d’une entreprise privée ou une institution de recherche ayant une expérience en recherche quantitative en santé publique, et des enquêtes épidémiologiques en particulier, pour réaliser une enquête de </w:t>
      </w:r>
      <w:r>
        <w:rPr>
          <w:rFonts w:cstheme="minorHAnsi"/>
          <w:lang w:val="fr-FR"/>
        </w:rPr>
        <w:t xml:space="preserve">monitorage </w:t>
      </w:r>
      <w:r w:rsidRPr="00C40FF2">
        <w:rPr>
          <w:rFonts w:cstheme="minorHAnsi"/>
          <w:lang w:val="fr-FR"/>
        </w:rPr>
        <w:t>pour ses programmes CPS au Tchad. Les résultats de couverture de base sont définis comme suit</w:t>
      </w:r>
      <w:r>
        <w:rPr>
          <w:rFonts w:cstheme="minorHAnsi"/>
          <w:lang w:val="fr-FR"/>
        </w:rPr>
        <w:t>e</w:t>
      </w:r>
      <w:r w:rsidRPr="00C40FF2">
        <w:rPr>
          <w:rFonts w:cstheme="minorHAnsi"/>
          <w:lang w:val="fr-FR"/>
        </w:rPr>
        <w:t xml:space="preserve"> :</w:t>
      </w:r>
    </w:p>
    <w:p w14:paraId="28F1FD8F" w14:textId="75B8968C" w:rsidR="00553981" w:rsidRPr="008A5300" w:rsidRDefault="00553981" w:rsidP="00553981">
      <w:pPr>
        <w:jc w:val="both"/>
        <w:rPr>
          <w:rFonts w:cstheme="minorHAnsi"/>
          <w:b/>
          <w:lang w:val="fr-FR"/>
        </w:rPr>
      </w:pPr>
      <w:r w:rsidRPr="00C40FF2">
        <w:rPr>
          <w:rFonts w:cstheme="minorHAnsi"/>
          <w:b/>
          <w:lang w:val="fr-FR"/>
        </w:rPr>
        <w:t>La proportion d’enfants traités avec la CPS</w:t>
      </w:r>
      <w:r>
        <w:rPr>
          <w:rFonts w:cstheme="minorHAnsi"/>
          <w:b/>
          <w:lang w:val="fr-FR"/>
        </w:rPr>
        <w:t xml:space="preserve"> </w:t>
      </w:r>
      <w:r w:rsidRPr="009E397D">
        <w:rPr>
          <w:rFonts w:cstheme="minorHAnsi"/>
          <w:b/>
          <w:lang w:val="fr-FR"/>
        </w:rPr>
        <w:t>par rapport</w:t>
      </w:r>
      <w:r>
        <w:rPr>
          <w:rFonts w:cstheme="minorHAnsi"/>
          <w:b/>
          <w:lang w:val="fr-FR"/>
        </w:rPr>
        <w:t xml:space="preserve"> au </w:t>
      </w:r>
      <w:r w:rsidR="00476D60">
        <w:rPr>
          <w:rFonts w:cstheme="minorHAnsi"/>
          <w:b/>
          <w:lang w:val="fr-FR"/>
        </w:rPr>
        <w:t>n</w:t>
      </w:r>
      <w:r w:rsidRPr="00C40FF2">
        <w:rPr>
          <w:rFonts w:cstheme="minorHAnsi"/>
          <w:b/>
          <w:lang w:val="fr-FR"/>
        </w:rPr>
        <w:t>ombre total des enfants éligibles identifiés au cours de l’enquête</w:t>
      </w:r>
    </w:p>
    <w:p w14:paraId="1E088606" w14:textId="3A4076EB" w:rsidR="00553981" w:rsidRPr="00C40FF2" w:rsidRDefault="00553981" w:rsidP="00553981">
      <w:pPr>
        <w:rPr>
          <w:rFonts w:cstheme="minorHAnsi"/>
          <w:lang w:val="fr-FR"/>
        </w:rPr>
      </w:pPr>
      <w:r w:rsidRPr="00C40FF2">
        <w:rPr>
          <w:rFonts w:cstheme="minorHAnsi"/>
          <w:lang w:val="fr-FR"/>
        </w:rPr>
        <w:t xml:space="preserve">D’autres indicateurs et les résultats secondaires d’intérêt seront également analysés.    </w:t>
      </w:r>
    </w:p>
    <w:p w14:paraId="4E29812B" w14:textId="7CC2F12A" w:rsidR="00553981" w:rsidRDefault="00553981" w:rsidP="00553981">
      <w:pPr>
        <w:rPr>
          <w:rFonts w:cstheme="minorHAnsi"/>
          <w:lang w:val="fr-FR"/>
        </w:rPr>
      </w:pPr>
      <w:r w:rsidRPr="00C40FF2">
        <w:rPr>
          <w:rFonts w:cstheme="minorHAnsi"/>
          <w:lang w:val="fr-FR"/>
        </w:rPr>
        <w:t xml:space="preserve">Les exigences suivantes en matière de capacité de collecte, de gestion et d’analyse des données doivent être mises à la disposition : </w:t>
      </w:r>
    </w:p>
    <w:p w14:paraId="5DAACEDE" w14:textId="7CCF092A" w:rsidR="008A5300" w:rsidRDefault="008A5300" w:rsidP="00553981">
      <w:pPr>
        <w:rPr>
          <w:rFonts w:cstheme="minorHAnsi"/>
          <w:lang w:val="fr-FR"/>
        </w:rPr>
      </w:pPr>
    </w:p>
    <w:p w14:paraId="2D9F8D64" w14:textId="77777777" w:rsidR="008A5300" w:rsidRPr="008A5300" w:rsidRDefault="008A5300" w:rsidP="00553981">
      <w:pPr>
        <w:rPr>
          <w:rFonts w:cstheme="minorHAnsi"/>
          <w:lang w:val="fr-FR"/>
        </w:rPr>
      </w:pPr>
    </w:p>
    <w:p w14:paraId="294D2491" w14:textId="77777777" w:rsidR="00553981" w:rsidRPr="00C40FF2" w:rsidRDefault="00553981" w:rsidP="00553981">
      <w:pPr>
        <w:rPr>
          <w:rFonts w:cstheme="minorHAnsi"/>
          <w:b/>
          <w:i/>
          <w:u w:val="single"/>
          <w:lang w:val="fr-FR"/>
        </w:rPr>
      </w:pPr>
      <w:r w:rsidRPr="00C40FF2">
        <w:rPr>
          <w:rFonts w:cstheme="minorHAnsi"/>
          <w:b/>
          <w:i/>
          <w:u w:val="single"/>
          <w:lang w:val="fr-FR"/>
        </w:rPr>
        <w:lastRenderedPageBreak/>
        <w:t xml:space="preserve">Méthodologie </w:t>
      </w:r>
    </w:p>
    <w:p w14:paraId="0F808F44" w14:textId="77777777" w:rsidR="00553981" w:rsidRPr="00C40FF2" w:rsidRDefault="00553981" w:rsidP="00553981">
      <w:pPr>
        <w:jc w:val="both"/>
        <w:rPr>
          <w:rFonts w:cstheme="minorHAnsi"/>
          <w:lang w:val="fr-FR"/>
        </w:rPr>
      </w:pPr>
      <w:r w:rsidRPr="003C31D4">
        <w:rPr>
          <w:rFonts w:cstheme="minorHAnsi"/>
          <w:lang w:val="fr-FR"/>
        </w:rPr>
        <w:t xml:space="preserve">Le soumissionnaire doit définir l’unité épidémiologique de l’analyse et proposer une méthodologie d’échantillonnage adéquat (y compris la sélection des </w:t>
      </w:r>
      <w:r w:rsidRPr="00C40FF2">
        <w:rPr>
          <w:rFonts w:cstheme="minorHAnsi"/>
          <w:lang w:val="fr-FR"/>
        </w:rPr>
        <w:t xml:space="preserve">localités/ sites, ainsi que de la sélection des </w:t>
      </w:r>
      <w:r>
        <w:rPr>
          <w:rFonts w:cstheme="minorHAnsi"/>
          <w:lang w:val="fr-FR"/>
        </w:rPr>
        <w:t xml:space="preserve">concessions et </w:t>
      </w:r>
      <w:r w:rsidRPr="00C40FF2">
        <w:rPr>
          <w:rFonts w:cstheme="minorHAnsi"/>
          <w:lang w:val="fr-FR"/>
        </w:rPr>
        <w:t xml:space="preserve">ménages individuels dans ces zones / sites). Le soumissionnaire devra également indiquer comment la taille de l’échantillon sera calculée ainsi que les formules utilisées. </w:t>
      </w:r>
    </w:p>
    <w:p w14:paraId="220CEB5D" w14:textId="5CFFF5FD" w:rsidR="00553981" w:rsidRPr="00C40FF2" w:rsidRDefault="00553981" w:rsidP="008A5300">
      <w:pPr>
        <w:jc w:val="both"/>
        <w:rPr>
          <w:rFonts w:cstheme="minorHAnsi"/>
          <w:lang w:val="fr-FR"/>
        </w:rPr>
      </w:pPr>
      <w:r w:rsidRPr="00C40FF2">
        <w:rPr>
          <w:rFonts w:cstheme="minorHAnsi"/>
          <w:lang w:val="fr-FR"/>
        </w:rPr>
        <w:t>La taille de l’échantillon doit être suffisamment grande pour obtenir des résultats similaires au niveau agrégé pour la population des districts au total. Malaria Consortium exigera un certain niveau de stratification, distinguant les zones rurales et urbaines des estimations de la couverture.  L’enquête devrait fournir des informations sur chaque cycle mensuel (distribution de masse), pour un total de 04 cycles. Pour ce qui est du résultat principal de l’étude, nous nous attendons à une précision entre 5 et 10%.</w:t>
      </w:r>
    </w:p>
    <w:p w14:paraId="04EF7B1E" w14:textId="628CE1BF" w:rsidR="00553981" w:rsidRPr="00C40FF2" w:rsidRDefault="00553981" w:rsidP="00553981">
      <w:pPr>
        <w:rPr>
          <w:rFonts w:cstheme="minorHAnsi"/>
          <w:lang w:val="fr-FR"/>
        </w:rPr>
      </w:pPr>
      <w:r w:rsidRPr="00C40FF2">
        <w:rPr>
          <w:rFonts w:cstheme="minorHAnsi"/>
          <w:lang w:val="fr-FR"/>
        </w:rPr>
        <w:t xml:space="preserve">Malaria Consortium sera responsable de la conception du questionnaire, dont un projet est annexé à la présente DP. Le soumissionnaire, les superviseurs et les agents de collecte de données seront formés à l’utilisation de </w:t>
      </w:r>
      <w:proofErr w:type="spellStart"/>
      <w:r>
        <w:rPr>
          <w:rFonts w:ascii="Candara" w:hAnsi="Candara" w:cs="Calibri"/>
          <w:bCs/>
          <w:sz w:val="24"/>
          <w:szCs w:val="24"/>
          <w:lang w:val="fr-FR"/>
        </w:rPr>
        <w:t>SurveyCTO</w:t>
      </w:r>
      <w:proofErr w:type="spellEnd"/>
      <w:r w:rsidRPr="00C40FF2">
        <w:rPr>
          <w:rFonts w:cstheme="minorHAnsi"/>
          <w:lang w:val="fr-FR"/>
        </w:rPr>
        <w:t xml:space="preserve"> et les questionnaires spécifiques par</w:t>
      </w:r>
      <w:r>
        <w:rPr>
          <w:rFonts w:cstheme="minorHAnsi"/>
          <w:lang w:val="fr-FR"/>
        </w:rPr>
        <w:t>/ et en collaboration avec</w:t>
      </w:r>
      <w:r w:rsidRPr="00C40FF2">
        <w:rPr>
          <w:rFonts w:cstheme="minorHAnsi"/>
          <w:lang w:val="fr-FR"/>
        </w:rPr>
        <w:t xml:space="preserve"> le personnel de Malaria Consortium dédié.  </w:t>
      </w:r>
    </w:p>
    <w:p w14:paraId="6E91C915" w14:textId="51BD395F" w:rsidR="00553981" w:rsidRPr="008A5300" w:rsidRDefault="00553981" w:rsidP="00553981">
      <w:pPr>
        <w:rPr>
          <w:rFonts w:cstheme="minorHAnsi"/>
          <w:b/>
          <w:i/>
          <w:u w:val="single"/>
          <w:lang w:val="fr-FR"/>
        </w:rPr>
      </w:pPr>
      <w:r w:rsidRPr="00C40FF2">
        <w:rPr>
          <w:rFonts w:cstheme="minorHAnsi"/>
          <w:b/>
          <w:i/>
          <w:u w:val="single"/>
          <w:lang w:val="fr-FR"/>
        </w:rPr>
        <w:t xml:space="preserve">Collecte et stockage de données </w:t>
      </w:r>
    </w:p>
    <w:p w14:paraId="69DC1925" w14:textId="77777777" w:rsidR="00553981" w:rsidRPr="00C40FF2" w:rsidRDefault="00553981" w:rsidP="00553981">
      <w:pPr>
        <w:jc w:val="both"/>
        <w:rPr>
          <w:rFonts w:cstheme="minorHAnsi"/>
          <w:lang w:val="fr-FR"/>
        </w:rPr>
      </w:pPr>
      <w:r w:rsidRPr="00C40FF2">
        <w:rPr>
          <w:rFonts w:cstheme="minorHAnsi"/>
          <w:lang w:val="fr-FR"/>
        </w:rPr>
        <w:t xml:space="preserve">Les données seront recueillies numériquement, très probablement en mode hors connexion et puis transférées à un serveur via un réseau mobile ou Wi-Fi à l’aide d’appareils mobiles, selon la disponibilité. Des appareils de poche numériques (smartphones) peuvent être mis à disposition par Malaria Consortium, mais le soumissionnaire est autorisé à utiliser ses propres appareils, s’il le préfère. </w:t>
      </w:r>
    </w:p>
    <w:p w14:paraId="7455B0C9" w14:textId="634EDB4F" w:rsidR="00553981" w:rsidRPr="008A5300" w:rsidRDefault="00553981" w:rsidP="008A5300">
      <w:pPr>
        <w:jc w:val="both"/>
        <w:rPr>
          <w:rFonts w:cstheme="minorHAnsi"/>
          <w:lang w:val="fr-FR"/>
        </w:rPr>
      </w:pPr>
      <w:r w:rsidRPr="00C40FF2">
        <w:rPr>
          <w:rFonts w:cstheme="minorHAnsi"/>
          <w:lang w:val="fr-FR"/>
        </w:rPr>
        <w:t>Malaria Consortium utilise une plateforme numérique spécifique (</w:t>
      </w:r>
      <w:r>
        <w:rPr>
          <w:rFonts w:cstheme="minorHAnsi"/>
          <w:lang w:val="fr-FR"/>
        </w:rPr>
        <w:t xml:space="preserve">type </w:t>
      </w:r>
      <w:proofErr w:type="spellStart"/>
      <w:r>
        <w:rPr>
          <w:rFonts w:ascii="Candara" w:hAnsi="Candara" w:cs="Calibri"/>
          <w:bCs/>
          <w:sz w:val="24"/>
          <w:szCs w:val="24"/>
          <w:lang w:val="fr-FR"/>
        </w:rPr>
        <w:t>SurveyCTO</w:t>
      </w:r>
      <w:proofErr w:type="spellEnd"/>
      <w:r w:rsidRPr="00C40FF2">
        <w:rPr>
          <w:rFonts w:cstheme="minorHAnsi"/>
          <w:lang w:val="fr-FR"/>
        </w:rPr>
        <w:t xml:space="preserve">) et les agents enquêteurs seront dotés de niveaux d’accès appropriés pour la collecte de données par le biais de cette plate-forme.  </w:t>
      </w:r>
    </w:p>
    <w:p w14:paraId="166BF3CD" w14:textId="77777777" w:rsidR="00553981" w:rsidRPr="00C40FF2" w:rsidRDefault="00553981" w:rsidP="00553981">
      <w:pPr>
        <w:rPr>
          <w:rFonts w:cstheme="minorHAnsi"/>
          <w:b/>
          <w:i/>
          <w:u w:val="single"/>
          <w:lang w:val="fr-FR"/>
        </w:rPr>
      </w:pPr>
      <w:r w:rsidRPr="00C40FF2">
        <w:rPr>
          <w:rFonts w:cstheme="minorHAnsi"/>
          <w:b/>
          <w:i/>
          <w:u w:val="single"/>
          <w:lang w:val="fr-FR"/>
        </w:rPr>
        <w:t>Analyse et gestion des données</w:t>
      </w:r>
    </w:p>
    <w:p w14:paraId="07C81185" w14:textId="358FC340" w:rsidR="00553981" w:rsidRPr="008A5300" w:rsidRDefault="00553981" w:rsidP="00553981">
      <w:pPr>
        <w:jc w:val="both"/>
        <w:rPr>
          <w:rFonts w:cstheme="minorHAnsi"/>
          <w:lang w:val="fr-FR"/>
        </w:rPr>
      </w:pPr>
      <w:r w:rsidRPr="003C31D4">
        <w:rPr>
          <w:rFonts w:cstheme="minorHAnsi"/>
          <w:lang w:val="fr-FR"/>
        </w:rPr>
        <w:t xml:space="preserve">L’attributaire désignera, dès le début, la ou les personnes clé qui sera responsable de l’analyse des données. La plate-forme de gestion de données par défaut sera </w:t>
      </w:r>
      <w:proofErr w:type="spellStart"/>
      <w:r>
        <w:rPr>
          <w:rFonts w:ascii="Candara" w:hAnsi="Candara" w:cs="Calibri"/>
          <w:bCs/>
          <w:sz w:val="24"/>
          <w:szCs w:val="24"/>
          <w:lang w:val="fr-FR"/>
        </w:rPr>
        <w:t>SurveyCTO</w:t>
      </w:r>
      <w:proofErr w:type="spellEnd"/>
      <w:r w:rsidRPr="003C31D4">
        <w:rPr>
          <w:rFonts w:cstheme="minorHAnsi"/>
          <w:lang w:val="fr-FR"/>
        </w:rPr>
        <w:t xml:space="preserve">, qui </w:t>
      </w:r>
      <w:r w:rsidRPr="00C40FF2">
        <w:rPr>
          <w:rFonts w:cstheme="minorHAnsi"/>
          <w:lang w:val="fr-FR"/>
        </w:rPr>
        <w:t xml:space="preserve">sera considérée comme stockage principal et outil de monitoring, et comme outil </w:t>
      </w:r>
      <w:r>
        <w:rPr>
          <w:rFonts w:cstheme="minorHAnsi"/>
          <w:lang w:val="fr-FR"/>
        </w:rPr>
        <w:t xml:space="preserve">de </w:t>
      </w:r>
      <w:r w:rsidRPr="00C40FF2">
        <w:rPr>
          <w:rFonts w:cstheme="minorHAnsi"/>
          <w:lang w:val="fr-FR"/>
        </w:rPr>
        <w:t>bas</w:t>
      </w:r>
      <w:r>
        <w:rPr>
          <w:rFonts w:cstheme="minorHAnsi"/>
          <w:lang w:val="fr-FR"/>
        </w:rPr>
        <w:t>e</w:t>
      </w:r>
      <w:r w:rsidRPr="00C40FF2">
        <w:rPr>
          <w:rFonts w:cstheme="minorHAnsi"/>
          <w:lang w:val="fr-FR"/>
        </w:rPr>
        <w:t xml:space="preserve"> d’analyse. Toutefois, les soumissionnaires retenus seront encouragés à exporter les données vers un logiciel d’analyse de leur choix pour effectuer les analyses pertinentes. Malaria Consortium préfère travailler avec STATA, mais les autres logiciels de statistiques traditionnels sont autorisés. Malaria Consortium ne rendra pas disponible un tel logiciel, et le soumissionnaire doit être déjà en possession des licences appropriées pour le logiciel de </w:t>
      </w:r>
      <w:r>
        <w:rPr>
          <w:rFonts w:cstheme="minorHAnsi"/>
          <w:lang w:val="fr-FR"/>
        </w:rPr>
        <w:t xml:space="preserve">leur </w:t>
      </w:r>
      <w:r w:rsidRPr="00C40FF2">
        <w:rPr>
          <w:rFonts w:cstheme="minorHAnsi"/>
          <w:lang w:val="fr-FR"/>
        </w:rPr>
        <w:t>choix.</w:t>
      </w:r>
    </w:p>
    <w:p w14:paraId="4DA51262" w14:textId="373D1E87" w:rsidR="00553981" w:rsidRPr="008A5300" w:rsidRDefault="00553981" w:rsidP="00553981">
      <w:pPr>
        <w:jc w:val="both"/>
        <w:rPr>
          <w:rFonts w:cstheme="minorHAnsi"/>
          <w:b/>
          <w:i/>
          <w:u w:val="single"/>
          <w:lang w:val="fr-FR"/>
        </w:rPr>
      </w:pPr>
      <w:r w:rsidRPr="00C40FF2">
        <w:rPr>
          <w:rFonts w:cstheme="minorHAnsi"/>
          <w:b/>
          <w:i/>
          <w:u w:val="single"/>
          <w:lang w:val="fr-FR"/>
        </w:rPr>
        <w:t xml:space="preserve">Reportage </w:t>
      </w:r>
    </w:p>
    <w:p w14:paraId="50BF1863" w14:textId="77777777" w:rsidR="00553981" w:rsidRPr="00C40FF2" w:rsidRDefault="00553981" w:rsidP="00553981">
      <w:pPr>
        <w:jc w:val="both"/>
        <w:rPr>
          <w:rFonts w:cstheme="minorHAnsi"/>
          <w:lang w:val="fr-FR"/>
        </w:rPr>
      </w:pPr>
      <w:r w:rsidRPr="00C40FF2">
        <w:rPr>
          <w:rFonts w:cstheme="minorHAnsi"/>
          <w:lang w:val="fr-FR"/>
        </w:rPr>
        <w:t xml:space="preserve">Le soumissionnaire fournira un rapport préliminaire d’analyse (deux) semaines après la fin de l’enquête, portant sur les points de données clés suivants : </w:t>
      </w:r>
    </w:p>
    <w:p w14:paraId="4E175F30" w14:textId="77777777" w:rsidR="00553981" w:rsidRPr="008A5300" w:rsidRDefault="00553981" w:rsidP="00553981">
      <w:pPr>
        <w:pStyle w:val="ListParagraph"/>
        <w:numPr>
          <w:ilvl w:val="0"/>
          <w:numId w:val="21"/>
        </w:numPr>
        <w:jc w:val="both"/>
        <w:rPr>
          <w:rFonts w:asciiTheme="minorHAnsi" w:eastAsiaTheme="minorHAnsi" w:hAnsiTheme="minorHAnsi" w:cstheme="minorHAnsi"/>
          <w:b w:val="0"/>
          <w:sz w:val="22"/>
          <w:szCs w:val="22"/>
          <w:lang w:val="fr-FR"/>
        </w:rPr>
      </w:pPr>
      <w:r w:rsidRPr="008A5300">
        <w:rPr>
          <w:rFonts w:asciiTheme="minorHAnsi" w:eastAsiaTheme="minorHAnsi" w:hAnsiTheme="minorHAnsi" w:cstheme="minorHAnsi"/>
          <w:b w:val="0"/>
          <w:sz w:val="22"/>
          <w:szCs w:val="22"/>
          <w:lang w:val="fr-FR"/>
        </w:rPr>
        <w:t xml:space="preserve">Couverture chez les enfants (3 à 59 mois), par cycle, tel que défini ci-dessus ; </w:t>
      </w:r>
    </w:p>
    <w:p w14:paraId="71AB8A61" w14:textId="77777777" w:rsidR="00553981" w:rsidRPr="008A5300" w:rsidRDefault="00553981" w:rsidP="00553981">
      <w:pPr>
        <w:pStyle w:val="ListParagraph"/>
        <w:numPr>
          <w:ilvl w:val="0"/>
          <w:numId w:val="21"/>
        </w:numPr>
        <w:jc w:val="both"/>
        <w:rPr>
          <w:rFonts w:asciiTheme="minorHAnsi" w:eastAsiaTheme="minorHAnsi" w:hAnsiTheme="minorHAnsi" w:cstheme="minorHAnsi"/>
          <w:b w:val="0"/>
          <w:sz w:val="22"/>
          <w:szCs w:val="22"/>
          <w:lang w:val="fr-FR"/>
        </w:rPr>
      </w:pPr>
      <w:r w:rsidRPr="008A5300">
        <w:rPr>
          <w:rFonts w:asciiTheme="minorHAnsi" w:eastAsiaTheme="minorHAnsi" w:hAnsiTheme="minorHAnsi" w:cstheme="minorHAnsi"/>
          <w:b w:val="0"/>
          <w:sz w:val="22"/>
          <w:szCs w:val="22"/>
          <w:lang w:val="fr-FR"/>
        </w:rPr>
        <w:t xml:space="preserve">Couverture en termes de nombre de cycles pour chaque enfant ; </w:t>
      </w:r>
    </w:p>
    <w:p w14:paraId="5CE89230" w14:textId="77777777" w:rsidR="00553981" w:rsidRPr="008A5300" w:rsidRDefault="00553981" w:rsidP="00553981">
      <w:pPr>
        <w:pStyle w:val="ListParagraph"/>
        <w:numPr>
          <w:ilvl w:val="0"/>
          <w:numId w:val="21"/>
        </w:numPr>
        <w:jc w:val="both"/>
        <w:rPr>
          <w:rFonts w:asciiTheme="minorHAnsi" w:eastAsiaTheme="minorHAnsi" w:hAnsiTheme="minorHAnsi" w:cstheme="minorHAnsi"/>
          <w:b w:val="0"/>
          <w:sz w:val="22"/>
          <w:szCs w:val="22"/>
          <w:lang w:val="fr-FR"/>
        </w:rPr>
      </w:pPr>
      <w:r w:rsidRPr="008A5300">
        <w:rPr>
          <w:rFonts w:asciiTheme="minorHAnsi" w:eastAsiaTheme="minorHAnsi" w:hAnsiTheme="minorHAnsi" w:cstheme="minorHAnsi"/>
          <w:b w:val="0"/>
          <w:sz w:val="22"/>
          <w:szCs w:val="22"/>
          <w:lang w:val="fr-FR"/>
        </w:rPr>
        <w:t xml:space="preserve">Proportion d’enfants qui reçoivent au moins un (1), trois (3) et tous les quatre 4 cycles ; </w:t>
      </w:r>
    </w:p>
    <w:p w14:paraId="613D2B74" w14:textId="77777777" w:rsidR="00553981" w:rsidRPr="008A5300" w:rsidRDefault="00553981" w:rsidP="00553981">
      <w:pPr>
        <w:pStyle w:val="ListParagraph"/>
        <w:numPr>
          <w:ilvl w:val="0"/>
          <w:numId w:val="21"/>
        </w:numPr>
        <w:jc w:val="both"/>
        <w:rPr>
          <w:rFonts w:asciiTheme="minorHAnsi" w:eastAsiaTheme="minorHAnsi" w:hAnsiTheme="minorHAnsi" w:cstheme="minorHAnsi"/>
          <w:b w:val="0"/>
          <w:sz w:val="22"/>
          <w:szCs w:val="22"/>
          <w:lang w:val="fr-FR"/>
        </w:rPr>
      </w:pPr>
      <w:r w:rsidRPr="008A5300">
        <w:rPr>
          <w:rFonts w:asciiTheme="minorHAnsi" w:eastAsiaTheme="minorHAnsi" w:hAnsiTheme="minorHAnsi" w:cstheme="minorHAnsi"/>
          <w:b w:val="0"/>
          <w:sz w:val="22"/>
          <w:szCs w:val="22"/>
          <w:lang w:val="fr-FR"/>
        </w:rPr>
        <w:t xml:space="preserve">Adhésion aux traitements déclarés ; </w:t>
      </w:r>
    </w:p>
    <w:p w14:paraId="02B8F030" w14:textId="77777777" w:rsidR="00553981" w:rsidRPr="008A5300" w:rsidRDefault="00553981" w:rsidP="00553981">
      <w:pPr>
        <w:pStyle w:val="ListParagraph"/>
        <w:numPr>
          <w:ilvl w:val="0"/>
          <w:numId w:val="21"/>
        </w:numPr>
        <w:jc w:val="both"/>
        <w:rPr>
          <w:rFonts w:asciiTheme="minorHAnsi" w:eastAsiaTheme="minorHAnsi" w:hAnsiTheme="minorHAnsi" w:cstheme="minorHAnsi"/>
          <w:b w:val="0"/>
          <w:sz w:val="22"/>
          <w:szCs w:val="22"/>
          <w:lang w:val="fr-FR"/>
        </w:rPr>
      </w:pPr>
      <w:r w:rsidRPr="008A5300">
        <w:rPr>
          <w:rFonts w:asciiTheme="minorHAnsi" w:eastAsiaTheme="minorHAnsi" w:hAnsiTheme="minorHAnsi" w:cstheme="minorHAnsi"/>
          <w:b w:val="0"/>
          <w:sz w:val="22"/>
          <w:szCs w:val="22"/>
          <w:lang w:val="fr-FR"/>
        </w:rPr>
        <w:lastRenderedPageBreak/>
        <w:t xml:space="preserve">Couverture chez les enfants de plus de 59 mois </w:t>
      </w:r>
    </w:p>
    <w:p w14:paraId="0BE31C42" w14:textId="77777777" w:rsidR="00553981" w:rsidRPr="008A5300" w:rsidRDefault="00553981" w:rsidP="00553981">
      <w:pPr>
        <w:pStyle w:val="ListParagraph"/>
        <w:numPr>
          <w:ilvl w:val="0"/>
          <w:numId w:val="21"/>
        </w:numPr>
        <w:jc w:val="both"/>
        <w:rPr>
          <w:rFonts w:asciiTheme="minorHAnsi" w:eastAsiaTheme="minorHAnsi" w:hAnsiTheme="minorHAnsi" w:cstheme="minorHAnsi"/>
          <w:b w:val="0"/>
          <w:sz w:val="22"/>
          <w:szCs w:val="22"/>
          <w:lang w:val="fr-FR"/>
        </w:rPr>
      </w:pPr>
      <w:r w:rsidRPr="008A5300">
        <w:rPr>
          <w:rFonts w:asciiTheme="minorHAnsi" w:eastAsiaTheme="minorHAnsi" w:hAnsiTheme="minorHAnsi" w:cstheme="minorHAnsi"/>
          <w:b w:val="0"/>
          <w:sz w:val="22"/>
          <w:szCs w:val="22"/>
          <w:lang w:val="fr-FR"/>
        </w:rPr>
        <w:t xml:space="preserve">Autres à définir au stade contractuel. </w:t>
      </w:r>
    </w:p>
    <w:p w14:paraId="351B5AE1" w14:textId="67423F8C" w:rsidR="00553981" w:rsidRPr="003C31D4" w:rsidRDefault="00553981" w:rsidP="00553981">
      <w:pPr>
        <w:jc w:val="both"/>
        <w:rPr>
          <w:rFonts w:cstheme="minorHAnsi"/>
          <w:lang w:val="fr-FR"/>
        </w:rPr>
      </w:pPr>
      <w:r>
        <w:rPr>
          <w:rFonts w:cstheme="minorHAnsi"/>
          <w:lang w:val="fr-FR"/>
        </w:rPr>
        <w:t xml:space="preserve">Le cabinet veillera à ce que le rapport préliminaire soit disponible avec les indicateurs ci-dessus au moins 1 semaine avant le début du cycle suivant de la CPS. </w:t>
      </w:r>
    </w:p>
    <w:p w14:paraId="2C07380B" w14:textId="34056E67" w:rsidR="00553981" w:rsidRPr="008A5300" w:rsidRDefault="00553981" w:rsidP="00553981">
      <w:pPr>
        <w:jc w:val="both"/>
        <w:rPr>
          <w:rFonts w:cstheme="minorHAnsi"/>
          <w:lang w:val="fr-FR"/>
        </w:rPr>
      </w:pPr>
      <w:r w:rsidRPr="00C40FF2">
        <w:rPr>
          <w:rFonts w:cstheme="minorHAnsi"/>
          <w:lang w:val="fr-FR"/>
        </w:rPr>
        <w:t xml:space="preserve">Dans le mois suivant la fin de l’enquête, le soumissionnaire fournira un rapport final d’analyse narratif, avec la description de tous les résultats et les indicateurs. Le soumissionnaire fournira par la même occasion un rapport financier complet. La langue de tous les rapports sera le </w:t>
      </w:r>
      <w:r w:rsidRPr="00FF4F77">
        <w:rPr>
          <w:rFonts w:cstheme="minorHAnsi"/>
          <w:b/>
          <w:i/>
          <w:lang w:val="fr-FR"/>
        </w:rPr>
        <w:t>Français et l’Anglais.</w:t>
      </w:r>
      <w:r w:rsidRPr="00C40FF2">
        <w:rPr>
          <w:rFonts w:cstheme="minorHAnsi"/>
          <w:lang w:val="fr-FR"/>
        </w:rPr>
        <w:t xml:space="preserve">  </w:t>
      </w:r>
    </w:p>
    <w:p w14:paraId="41DB5A9B" w14:textId="4F692FF9" w:rsidR="00553981" w:rsidRPr="008A5300" w:rsidRDefault="00553981" w:rsidP="00553981">
      <w:pPr>
        <w:jc w:val="both"/>
        <w:rPr>
          <w:rFonts w:cstheme="minorHAnsi"/>
          <w:b/>
          <w:i/>
          <w:u w:val="single"/>
          <w:lang w:val="fr-FR"/>
        </w:rPr>
      </w:pPr>
      <w:r w:rsidRPr="00C40FF2">
        <w:rPr>
          <w:rFonts w:cstheme="minorHAnsi"/>
          <w:b/>
          <w:i/>
          <w:u w:val="single"/>
          <w:lang w:val="fr-FR"/>
        </w:rPr>
        <w:t>Calendrier</w:t>
      </w:r>
    </w:p>
    <w:p w14:paraId="21275694" w14:textId="11623309" w:rsidR="00553981" w:rsidRPr="008A5300" w:rsidRDefault="00553981" w:rsidP="008A5300">
      <w:pPr>
        <w:jc w:val="both"/>
        <w:rPr>
          <w:rFonts w:cstheme="minorHAnsi"/>
          <w:lang w:val="fr-FR"/>
        </w:rPr>
      </w:pPr>
      <w:r w:rsidRPr="00C40FF2">
        <w:rPr>
          <w:rFonts w:cstheme="minorHAnsi"/>
          <w:lang w:val="fr-FR"/>
        </w:rPr>
        <w:t>L’enquête doit être exécutée</w:t>
      </w:r>
      <w:r>
        <w:rPr>
          <w:rFonts w:cstheme="minorHAnsi"/>
          <w:lang w:val="fr-FR"/>
        </w:rPr>
        <w:t xml:space="preserve"> au plus tard 5 jours après chaque cycle de mise en œuvre de la CPS</w:t>
      </w:r>
      <w:r w:rsidRPr="00C40FF2">
        <w:rPr>
          <w:rFonts w:cstheme="minorHAnsi"/>
          <w:lang w:val="fr-FR"/>
        </w:rPr>
        <w:t xml:space="preserve">. Un rapport préliminaire devrait être mis à la disposition </w:t>
      </w:r>
      <w:r>
        <w:rPr>
          <w:rFonts w:cstheme="minorHAnsi"/>
          <w:lang w:val="fr-FR"/>
        </w:rPr>
        <w:t>15 jours après le cycle CPS évalué</w:t>
      </w:r>
      <w:r w:rsidRPr="00C40FF2">
        <w:rPr>
          <w:rFonts w:cstheme="minorHAnsi"/>
          <w:lang w:val="fr-FR"/>
        </w:rPr>
        <w:t xml:space="preserve">.  Les soumissionnaires doivent montrer à travers un plan de travail comment ils vont atteindre les résultats attendus de l’enquête de </w:t>
      </w:r>
      <w:r>
        <w:rPr>
          <w:rFonts w:cstheme="minorHAnsi"/>
          <w:lang w:val="fr-FR"/>
        </w:rPr>
        <w:t>monitorage</w:t>
      </w:r>
      <w:r w:rsidRPr="00C40FF2">
        <w:rPr>
          <w:rFonts w:cstheme="minorHAnsi"/>
          <w:lang w:val="fr-FR"/>
        </w:rPr>
        <w:t>.</w:t>
      </w:r>
    </w:p>
    <w:p w14:paraId="643CF484" w14:textId="7F4C8FFF" w:rsidR="00553981" w:rsidRPr="008A5300" w:rsidRDefault="00553981" w:rsidP="00553981">
      <w:pPr>
        <w:rPr>
          <w:rFonts w:cstheme="minorHAnsi"/>
          <w:b/>
          <w:u w:val="single"/>
          <w:lang w:val="fr-FR"/>
        </w:rPr>
      </w:pPr>
      <w:r w:rsidRPr="00C40FF2">
        <w:rPr>
          <w:rFonts w:cstheme="minorHAnsi"/>
          <w:b/>
          <w:u w:val="single"/>
          <w:lang w:val="fr-FR"/>
        </w:rPr>
        <w:t xml:space="preserve">D. Modalités de Paiement </w:t>
      </w:r>
    </w:p>
    <w:p w14:paraId="117D5A7A" w14:textId="77777777" w:rsidR="00553981" w:rsidRPr="00C40FF2" w:rsidRDefault="00553981" w:rsidP="00553981">
      <w:pPr>
        <w:jc w:val="both"/>
        <w:rPr>
          <w:rFonts w:cstheme="minorHAnsi"/>
          <w:lang w:val="fr-FR"/>
        </w:rPr>
      </w:pPr>
      <w:r w:rsidRPr="00C40FF2">
        <w:rPr>
          <w:rFonts w:cstheme="minorHAnsi"/>
          <w:lang w:val="fr-FR"/>
        </w:rPr>
        <w:t xml:space="preserve">D1) Malaria Consortium fera le paiement </w:t>
      </w:r>
      <w:r>
        <w:rPr>
          <w:rFonts w:cstheme="minorHAnsi"/>
          <w:lang w:val="fr-FR"/>
        </w:rPr>
        <w:t xml:space="preserve">dans les </w:t>
      </w:r>
      <w:r w:rsidRPr="00C40FF2">
        <w:rPr>
          <w:rFonts w:cstheme="minorHAnsi"/>
          <w:lang w:val="fr-FR"/>
        </w:rPr>
        <w:t xml:space="preserve">30 jours après </w:t>
      </w:r>
      <w:r>
        <w:rPr>
          <w:rFonts w:cstheme="minorHAnsi"/>
          <w:lang w:val="fr-FR"/>
        </w:rPr>
        <w:t xml:space="preserve">acceptation conjointe par les 2 partenaires (Malaria Consortium et le Cabinet) du niveau de réalisation des termes du contrat. </w:t>
      </w:r>
    </w:p>
    <w:p w14:paraId="1104AABA" w14:textId="77777777" w:rsidR="00553981" w:rsidRPr="00C40FF2" w:rsidRDefault="00553981" w:rsidP="00553981">
      <w:pPr>
        <w:jc w:val="both"/>
        <w:rPr>
          <w:rFonts w:cstheme="minorHAnsi"/>
          <w:lang w:val="fr-FR"/>
        </w:rPr>
      </w:pPr>
      <w:r w:rsidRPr="00C40FF2">
        <w:rPr>
          <w:rFonts w:cstheme="minorHAnsi"/>
          <w:lang w:val="fr-FR"/>
        </w:rPr>
        <w:t xml:space="preserve">D2) Tous les paiements sont effectués en </w:t>
      </w:r>
      <w:r>
        <w:rPr>
          <w:rFonts w:cstheme="minorHAnsi"/>
          <w:lang w:val="fr-FR"/>
        </w:rPr>
        <w:t>Franc CFA (CEMAC)</w:t>
      </w:r>
      <w:r w:rsidRPr="00C40FF2">
        <w:rPr>
          <w:rFonts w:cstheme="minorHAnsi"/>
          <w:lang w:val="fr-FR"/>
        </w:rPr>
        <w:t xml:space="preserve"> par virement bancaire.  </w:t>
      </w:r>
    </w:p>
    <w:p w14:paraId="24BDA888" w14:textId="738CBAC5" w:rsidR="00553981" w:rsidRPr="00C40FF2" w:rsidRDefault="00553981" w:rsidP="00553981">
      <w:pPr>
        <w:jc w:val="both"/>
        <w:rPr>
          <w:rFonts w:cstheme="minorHAnsi"/>
          <w:lang w:val="fr-FR"/>
        </w:rPr>
      </w:pPr>
      <w:r w:rsidRPr="00C40FF2">
        <w:rPr>
          <w:rFonts w:cstheme="minorHAnsi"/>
          <w:lang w:val="fr-FR"/>
        </w:rPr>
        <w:t xml:space="preserve">D3) Les critères d’évaluation énoncés à la section E serviront à évaluer les soumissions.          </w:t>
      </w:r>
    </w:p>
    <w:p w14:paraId="16D0C81E" w14:textId="78E5FA65" w:rsidR="00553981" w:rsidRPr="008A5300" w:rsidRDefault="00553981" w:rsidP="00553981">
      <w:pPr>
        <w:jc w:val="both"/>
        <w:rPr>
          <w:rFonts w:cstheme="minorHAnsi"/>
          <w:b/>
          <w:u w:val="single"/>
          <w:lang w:val="fr-FR"/>
        </w:rPr>
      </w:pPr>
      <w:r w:rsidRPr="00C40FF2">
        <w:rPr>
          <w:rFonts w:cstheme="minorHAnsi"/>
          <w:b/>
          <w:u w:val="single"/>
          <w:lang w:val="fr-FR"/>
        </w:rPr>
        <w:t xml:space="preserve">E. Critères d’évaluation DP </w:t>
      </w:r>
    </w:p>
    <w:p w14:paraId="3D71B14B" w14:textId="29C3E503" w:rsidR="00553981" w:rsidRPr="008A5300" w:rsidRDefault="00553981" w:rsidP="00553981">
      <w:pPr>
        <w:jc w:val="both"/>
        <w:rPr>
          <w:rFonts w:cstheme="minorHAnsi"/>
          <w:lang w:val="fr-FR"/>
        </w:rPr>
      </w:pPr>
      <w:r w:rsidRPr="00C40FF2">
        <w:rPr>
          <w:rFonts w:cstheme="minorHAnsi"/>
          <w:lang w:val="fr-FR"/>
        </w:rPr>
        <w:t xml:space="preserve">Pour la proposition considérée techniquement conforme, l’auteur de la proposition doit obtenir une note </w:t>
      </w:r>
      <w:r>
        <w:rPr>
          <w:rFonts w:cstheme="minorHAnsi"/>
          <w:lang w:val="fr-FR"/>
        </w:rPr>
        <w:t xml:space="preserve">conséquente </w:t>
      </w:r>
      <w:proofErr w:type="gramStart"/>
      <w:r>
        <w:rPr>
          <w:rFonts w:cstheme="minorHAnsi"/>
          <w:lang w:val="fr-FR"/>
        </w:rPr>
        <w:t>suite à</w:t>
      </w:r>
      <w:proofErr w:type="gramEnd"/>
      <w:r>
        <w:rPr>
          <w:rFonts w:cstheme="minorHAnsi"/>
          <w:lang w:val="fr-FR"/>
        </w:rPr>
        <w:t xml:space="preserve"> l’analyse des soumissions</w:t>
      </w:r>
      <w:r w:rsidRPr="00C40FF2">
        <w:rPr>
          <w:rFonts w:cstheme="minorHAnsi"/>
          <w:lang w:val="fr-FR"/>
        </w:rPr>
        <w:t>.</w:t>
      </w:r>
      <w:r>
        <w:rPr>
          <w:rFonts w:cstheme="minorHAnsi"/>
          <w:lang w:val="fr-FR"/>
        </w:rPr>
        <w:t xml:space="preserve"> Seront pris en compte deux aspects fondamentaux : 1- La crédibilité structurelle du cabinet ; 2- Et sa capacité technique à décrire son intervention. Ci-dessous vous avez un exemple de grille d’analyse qui pourrait être utilisée pour un tel exercice. </w:t>
      </w:r>
      <w:r w:rsidRPr="00C40FF2">
        <w:rPr>
          <w:rFonts w:cstheme="minorHAnsi"/>
          <w:lang w:val="fr-FR"/>
        </w:rPr>
        <w:t xml:space="preserve"> Les propositions qui ne satisf</w:t>
      </w:r>
      <w:r>
        <w:rPr>
          <w:rFonts w:cstheme="minorHAnsi"/>
          <w:lang w:val="fr-FR"/>
        </w:rPr>
        <w:t>er</w:t>
      </w:r>
      <w:r w:rsidRPr="00C40FF2">
        <w:rPr>
          <w:rFonts w:cstheme="minorHAnsi"/>
          <w:lang w:val="fr-FR"/>
        </w:rPr>
        <w:t xml:space="preserve">ont </w:t>
      </w:r>
      <w:r>
        <w:rPr>
          <w:rFonts w:cstheme="minorHAnsi"/>
          <w:lang w:val="fr-FR"/>
        </w:rPr>
        <w:t>pas à ces</w:t>
      </w:r>
      <w:r w:rsidRPr="00C40FF2">
        <w:rPr>
          <w:rFonts w:cstheme="minorHAnsi"/>
          <w:lang w:val="fr-FR"/>
        </w:rPr>
        <w:t xml:space="preserve"> </w:t>
      </w:r>
      <w:r>
        <w:rPr>
          <w:rFonts w:cstheme="minorHAnsi"/>
          <w:lang w:val="fr-FR"/>
        </w:rPr>
        <w:t xml:space="preserve">exigences </w:t>
      </w:r>
      <w:r w:rsidRPr="00C40FF2">
        <w:rPr>
          <w:rFonts w:cstheme="minorHAnsi"/>
          <w:lang w:val="fr-FR"/>
        </w:rPr>
        <w:t xml:space="preserve">seront éliminées. </w:t>
      </w:r>
    </w:p>
    <w:tbl>
      <w:tblPr>
        <w:tblW w:w="0" w:type="auto"/>
        <w:tblInd w:w="534" w:type="dxa"/>
        <w:tblCellMar>
          <w:left w:w="0" w:type="dxa"/>
          <w:right w:w="0" w:type="dxa"/>
        </w:tblCellMar>
        <w:tblLook w:val="04A0" w:firstRow="1" w:lastRow="0" w:firstColumn="1" w:lastColumn="0" w:noHBand="0" w:noVBand="1"/>
      </w:tblPr>
      <w:tblGrid>
        <w:gridCol w:w="8073"/>
        <w:gridCol w:w="777"/>
      </w:tblGrid>
      <w:tr w:rsidR="00553981" w:rsidRPr="00B27579" w14:paraId="066DF643" w14:textId="77777777" w:rsidTr="00E61B6C">
        <w:trPr>
          <w:trHeight w:val="269"/>
        </w:trPr>
        <w:tc>
          <w:tcPr>
            <w:tcW w:w="8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AB6402" w14:textId="77777777" w:rsidR="00553981" w:rsidRPr="00B27579" w:rsidRDefault="00553981" w:rsidP="00E61B6C">
            <w:pPr>
              <w:rPr>
                <w:rFonts w:cstheme="minorHAnsi"/>
                <w:b/>
                <w:lang w:val="fr-FR" w:eastAsia="fr-FR"/>
              </w:rPr>
            </w:pPr>
            <w:r w:rsidRPr="00B27579">
              <w:rPr>
                <w:rFonts w:cstheme="minorHAnsi"/>
                <w:b/>
                <w:lang w:val="fr-FR" w:eastAsia="fr-FR"/>
              </w:rPr>
              <w:t>Critères techniques</w:t>
            </w:r>
          </w:p>
        </w:tc>
        <w:tc>
          <w:tcPr>
            <w:tcW w:w="8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32891CB" w14:textId="77777777" w:rsidR="00553981" w:rsidRPr="00B27579" w:rsidRDefault="00553981" w:rsidP="00E61B6C">
            <w:pPr>
              <w:rPr>
                <w:rFonts w:cstheme="minorHAnsi"/>
                <w:b/>
                <w:lang w:val="fr-FR" w:eastAsia="fr-FR"/>
              </w:rPr>
            </w:pPr>
            <w:r>
              <w:rPr>
                <w:rFonts w:cstheme="minorHAnsi"/>
                <w:b/>
                <w:bCs/>
                <w:lang w:val="fr-FR" w:eastAsia="fr-FR"/>
              </w:rPr>
              <w:t>80 %</w:t>
            </w:r>
          </w:p>
        </w:tc>
      </w:tr>
      <w:tr w:rsidR="00553981" w:rsidRPr="00B27579" w14:paraId="77158276" w14:textId="77777777" w:rsidTr="00E61B6C">
        <w:tc>
          <w:tcPr>
            <w:tcW w:w="88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8D0FD4" w14:textId="77777777" w:rsidR="00553981" w:rsidRPr="00B27579" w:rsidRDefault="00553981" w:rsidP="00E61B6C">
            <w:pPr>
              <w:rPr>
                <w:rFonts w:cstheme="minorHAnsi"/>
                <w:lang w:val="fr-FR" w:eastAsia="fr-FR"/>
              </w:rPr>
            </w:pPr>
            <w:r w:rsidRPr="00B27579">
              <w:rPr>
                <w:rFonts w:cstheme="minorHAnsi"/>
                <w:lang w:val="fr-FR" w:eastAsia="fr-FR"/>
              </w:rPr>
              <w:t>Comprendre et répondre aux exigences de Malaria Consortium (article 3 dans le Document de réponse soumissionnaire (BRD))</w:t>
            </w:r>
          </w:p>
        </w:tc>
        <w:tc>
          <w:tcPr>
            <w:tcW w:w="8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A5074B" w14:textId="77777777" w:rsidR="00553981" w:rsidRPr="00B27579" w:rsidRDefault="00553981" w:rsidP="00E61B6C">
            <w:pPr>
              <w:rPr>
                <w:rFonts w:cstheme="minorHAnsi"/>
                <w:lang w:val="fr-FR" w:eastAsia="fr-FR"/>
              </w:rPr>
            </w:pPr>
            <w:r w:rsidRPr="00B27579">
              <w:rPr>
                <w:rFonts w:cstheme="minorHAnsi"/>
                <w:lang w:val="fr-FR" w:eastAsia="fr-FR"/>
              </w:rPr>
              <w:t>20 %</w:t>
            </w:r>
          </w:p>
        </w:tc>
      </w:tr>
      <w:tr w:rsidR="00553981" w:rsidRPr="00B27579" w14:paraId="40906076" w14:textId="77777777" w:rsidTr="00E61B6C">
        <w:tc>
          <w:tcPr>
            <w:tcW w:w="88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3AEE3E" w14:textId="77777777" w:rsidR="00553981" w:rsidRPr="00B27579" w:rsidRDefault="00553981" w:rsidP="00E61B6C">
            <w:pPr>
              <w:rPr>
                <w:rFonts w:cstheme="minorHAnsi"/>
                <w:lang w:val="fr-FR" w:eastAsia="fr-FR"/>
              </w:rPr>
            </w:pPr>
            <w:r w:rsidRPr="00B27579">
              <w:rPr>
                <w:rFonts w:cstheme="minorHAnsi"/>
                <w:lang w:val="fr-FR" w:eastAsia="fr-FR"/>
              </w:rPr>
              <w:t>Détails et une preuve d’assurance pertinente (Question 1.3 dans la BRD)</w:t>
            </w:r>
          </w:p>
        </w:tc>
        <w:tc>
          <w:tcPr>
            <w:tcW w:w="8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D28049" w14:textId="77777777" w:rsidR="00553981" w:rsidRPr="00B27579" w:rsidRDefault="00553981" w:rsidP="00E61B6C">
            <w:pPr>
              <w:rPr>
                <w:rFonts w:cstheme="minorHAnsi"/>
                <w:lang w:val="fr-FR" w:eastAsia="fr-FR"/>
              </w:rPr>
            </w:pPr>
            <w:r w:rsidRPr="00B27579">
              <w:rPr>
                <w:rFonts w:cstheme="minorHAnsi"/>
                <w:lang w:val="fr-FR" w:eastAsia="fr-FR"/>
              </w:rPr>
              <w:t>5 %</w:t>
            </w:r>
          </w:p>
        </w:tc>
      </w:tr>
      <w:tr w:rsidR="00553981" w:rsidRPr="00B27579" w14:paraId="7D0A78CB" w14:textId="77777777" w:rsidTr="00E61B6C">
        <w:tc>
          <w:tcPr>
            <w:tcW w:w="88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D176F0" w14:textId="77777777" w:rsidR="00553981" w:rsidRPr="00B27579" w:rsidRDefault="00553981" w:rsidP="00E61B6C">
            <w:pPr>
              <w:rPr>
                <w:rFonts w:cstheme="minorHAnsi"/>
                <w:lang w:val="fr-FR" w:eastAsia="fr-FR"/>
              </w:rPr>
            </w:pPr>
            <w:r w:rsidRPr="00B27579">
              <w:rPr>
                <w:rFonts w:cstheme="minorHAnsi"/>
                <w:lang w:val="fr-FR" w:eastAsia="fr-FR"/>
              </w:rPr>
              <w:t>Expérience de l’entreprise</w:t>
            </w:r>
          </w:p>
          <w:p w14:paraId="67CCE0DA" w14:textId="77777777" w:rsidR="00553981" w:rsidRPr="00B27579" w:rsidRDefault="00553981" w:rsidP="00553981">
            <w:pPr>
              <w:numPr>
                <w:ilvl w:val="0"/>
                <w:numId w:val="23"/>
              </w:numPr>
              <w:spacing w:after="0" w:line="240" w:lineRule="auto"/>
              <w:ind w:left="1440"/>
              <w:rPr>
                <w:rFonts w:cstheme="minorHAnsi"/>
                <w:lang w:val="fr-FR" w:eastAsia="fr-FR"/>
              </w:rPr>
            </w:pPr>
            <w:r w:rsidRPr="00B27579">
              <w:rPr>
                <w:rFonts w:cstheme="minorHAnsi"/>
                <w:lang w:val="fr-FR" w:eastAsia="fr-FR"/>
              </w:rPr>
              <w:t xml:space="preserve">Champs et pertinence de l’expérience de la société (Question 2.1 dans la BRD) </w:t>
            </w:r>
          </w:p>
          <w:p w14:paraId="39DAFB37" w14:textId="77777777" w:rsidR="00553981" w:rsidRPr="00B27579" w:rsidRDefault="00553981" w:rsidP="00553981">
            <w:pPr>
              <w:numPr>
                <w:ilvl w:val="0"/>
                <w:numId w:val="23"/>
              </w:numPr>
              <w:spacing w:after="0" w:line="240" w:lineRule="auto"/>
              <w:ind w:left="1440"/>
              <w:rPr>
                <w:rFonts w:cstheme="minorHAnsi"/>
                <w:lang w:val="fr-FR" w:eastAsia="fr-FR"/>
              </w:rPr>
            </w:pPr>
            <w:r w:rsidRPr="00B27579">
              <w:rPr>
                <w:rFonts w:cstheme="minorHAnsi"/>
                <w:lang w:val="fr-FR" w:eastAsia="fr-FR"/>
              </w:rPr>
              <w:t>Référence client pertinentes aux contrats similaires (Question 2.2 dans la BRD)</w:t>
            </w:r>
          </w:p>
          <w:p w14:paraId="20E435AA" w14:textId="77777777" w:rsidR="00553981" w:rsidRPr="00B27579" w:rsidRDefault="00553981" w:rsidP="00553981">
            <w:pPr>
              <w:numPr>
                <w:ilvl w:val="0"/>
                <w:numId w:val="23"/>
              </w:numPr>
              <w:spacing w:after="0" w:line="240" w:lineRule="auto"/>
              <w:ind w:left="1440"/>
              <w:rPr>
                <w:rFonts w:cstheme="minorHAnsi"/>
                <w:lang w:val="fr-FR" w:eastAsia="fr-FR"/>
              </w:rPr>
            </w:pPr>
            <w:r w:rsidRPr="00B27579">
              <w:rPr>
                <w:rFonts w:cstheme="minorHAnsi"/>
                <w:lang w:val="fr-FR" w:eastAsia="fr-FR"/>
              </w:rPr>
              <w:t xml:space="preserve">Ressources disponibles pour offrir (Questions 1.2, 2.3 et 2.4 de la BRD) </w:t>
            </w:r>
          </w:p>
        </w:tc>
        <w:tc>
          <w:tcPr>
            <w:tcW w:w="8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EB7593" w14:textId="77777777" w:rsidR="00553981" w:rsidRPr="00B27579" w:rsidRDefault="00553981" w:rsidP="00E61B6C">
            <w:pPr>
              <w:rPr>
                <w:rFonts w:cstheme="minorHAnsi"/>
                <w:lang w:val="fr-FR" w:eastAsia="fr-FR"/>
              </w:rPr>
            </w:pPr>
            <w:r>
              <w:rPr>
                <w:rFonts w:cstheme="minorHAnsi"/>
                <w:lang w:val="fr-FR" w:eastAsia="fr-FR"/>
              </w:rPr>
              <w:t>45</w:t>
            </w:r>
            <w:r w:rsidRPr="00B27579">
              <w:rPr>
                <w:rFonts w:cstheme="minorHAnsi"/>
                <w:lang w:val="fr-FR" w:eastAsia="fr-FR"/>
              </w:rPr>
              <w:t xml:space="preserve"> %</w:t>
            </w:r>
          </w:p>
        </w:tc>
      </w:tr>
      <w:tr w:rsidR="00553981" w:rsidRPr="00B27579" w14:paraId="25F8C3B7" w14:textId="77777777" w:rsidTr="00E61B6C">
        <w:tc>
          <w:tcPr>
            <w:tcW w:w="88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C8EF45" w14:textId="77777777" w:rsidR="00553981" w:rsidRPr="00B27579" w:rsidRDefault="00553981" w:rsidP="00E61B6C">
            <w:pPr>
              <w:rPr>
                <w:rFonts w:cstheme="minorHAnsi"/>
                <w:lang w:val="fr-FR" w:eastAsia="fr-FR"/>
              </w:rPr>
            </w:pPr>
            <w:r w:rsidRPr="00B27579">
              <w:rPr>
                <w:rFonts w:cstheme="minorHAnsi"/>
                <w:lang w:val="fr-FR" w:eastAsia="fr-FR"/>
              </w:rPr>
              <w:t>Conformité aux politiques de Malaria Consortium (politiques internes de bonnes pratiques : questions 1.4 et 1.5 de la BRD)</w:t>
            </w:r>
          </w:p>
        </w:tc>
        <w:tc>
          <w:tcPr>
            <w:tcW w:w="8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8FF6B8" w14:textId="77777777" w:rsidR="00553981" w:rsidRPr="00B27579" w:rsidRDefault="00553981" w:rsidP="00E61B6C">
            <w:pPr>
              <w:rPr>
                <w:rFonts w:cstheme="minorHAnsi"/>
                <w:lang w:val="fr-FR" w:eastAsia="fr-FR"/>
              </w:rPr>
            </w:pPr>
            <w:r>
              <w:rPr>
                <w:rFonts w:cstheme="minorHAnsi"/>
                <w:lang w:val="fr-FR" w:eastAsia="fr-FR"/>
              </w:rPr>
              <w:t xml:space="preserve">10 </w:t>
            </w:r>
            <w:r w:rsidRPr="00B27579">
              <w:rPr>
                <w:rFonts w:cstheme="minorHAnsi"/>
                <w:lang w:val="fr-FR" w:eastAsia="fr-FR"/>
              </w:rPr>
              <w:t>%</w:t>
            </w:r>
          </w:p>
        </w:tc>
      </w:tr>
      <w:tr w:rsidR="00553981" w:rsidRPr="00C40FF2" w14:paraId="0E611A2A" w14:textId="77777777" w:rsidTr="00E61B6C">
        <w:trPr>
          <w:trHeight w:val="269"/>
        </w:trPr>
        <w:tc>
          <w:tcPr>
            <w:tcW w:w="88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791946" w14:textId="77777777" w:rsidR="00553981" w:rsidRPr="00B27579" w:rsidRDefault="00553981" w:rsidP="00E61B6C">
            <w:pPr>
              <w:rPr>
                <w:rFonts w:cstheme="minorHAnsi"/>
                <w:b/>
                <w:lang w:val="fr-FR" w:eastAsia="fr-FR"/>
              </w:rPr>
            </w:pPr>
            <w:r w:rsidRPr="00B27579">
              <w:rPr>
                <w:rFonts w:cstheme="minorHAnsi"/>
                <w:b/>
                <w:lang w:val="fr-FR" w:eastAsia="fr-FR"/>
              </w:rPr>
              <w:lastRenderedPageBreak/>
              <w:t>Compétitivité Financière</w:t>
            </w:r>
          </w:p>
          <w:p w14:paraId="67CB6B71" w14:textId="77777777" w:rsidR="00553981" w:rsidRPr="00B27579" w:rsidRDefault="00553981" w:rsidP="00E61B6C">
            <w:pPr>
              <w:rPr>
                <w:rFonts w:cstheme="minorHAnsi"/>
                <w:lang w:val="fr-FR" w:eastAsia="fr-FR"/>
              </w:rPr>
            </w:pPr>
            <w:r w:rsidRPr="00B27579">
              <w:rPr>
                <w:rFonts w:cstheme="minorHAnsi"/>
                <w:lang w:val="fr-FR" w:eastAsia="fr-FR"/>
              </w:rPr>
              <w:t xml:space="preserve">La proposition financière doit contenir un devis global en </w:t>
            </w:r>
            <w:r w:rsidRPr="00B27579">
              <w:rPr>
                <w:rFonts w:cstheme="minorHAnsi"/>
                <w:b/>
                <w:bCs/>
                <w:lang w:val="fr-FR" w:eastAsia="fr-FR"/>
              </w:rPr>
              <w:t>FCFA (CEMAC)</w:t>
            </w:r>
            <w:r w:rsidRPr="00B27579">
              <w:rPr>
                <w:rFonts w:cstheme="minorHAnsi"/>
                <w:lang w:val="fr-FR" w:eastAsia="fr-FR"/>
              </w:rPr>
              <w:t xml:space="preserve"> pour les services à fournir, avec une ventilation détaillée que possible et réalisable.  </w:t>
            </w:r>
          </w:p>
          <w:p w14:paraId="01E5C62A" w14:textId="77777777" w:rsidR="00553981" w:rsidRPr="00B27579" w:rsidRDefault="00553981" w:rsidP="00E61B6C">
            <w:pPr>
              <w:rPr>
                <w:rFonts w:cstheme="minorHAnsi"/>
                <w:lang w:val="fr-FR" w:eastAsia="fr-FR"/>
              </w:rPr>
            </w:pPr>
            <w:r w:rsidRPr="00B27579">
              <w:rPr>
                <w:rFonts w:cstheme="minorHAnsi"/>
                <w:lang w:val="fr-FR" w:eastAsia="fr-FR"/>
              </w:rPr>
              <w:t xml:space="preserve">Les prix indiqués doivent inclure tout le nécessaire pour l’exécution complète d’un éventuel contrat. Les frais pour les articles non identifiés dans la proposition seront à la charge du répondant </w:t>
            </w:r>
          </w:p>
          <w:p w14:paraId="66EFF340" w14:textId="77777777" w:rsidR="00553981" w:rsidRPr="00B27579" w:rsidRDefault="00553981" w:rsidP="00E61B6C">
            <w:pPr>
              <w:rPr>
                <w:rFonts w:cstheme="minorHAnsi"/>
                <w:lang w:val="fr-FR" w:eastAsia="fr-FR"/>
              </w:rPr>
            </w:pPr>
            <w:r w:rsidRPr="00B27579">
              <w:rPr>
                <w:rFonts w:cstheme="minorHAnsi"/>
                <w:lang w:val="fr-FR" w:eastAsia="fr-FR"/>
              </w:rPr>
              <w:t> </w:t>
            </w:r>
          </w:p>
          <w:p w14:paraId="1E53CEB9" w14:textId="77777777" w:rsidR="00553981" w:rsidRPr="00B27579" w:rsidRDefault="00553981" w:rsidP="00E61B6C">
            <w:pPr>
              <w:rPr>
                <w:rFonts w:cstheme="minorHAnsi"/>
                <w:lang w:val="fr-FR" w:eastAsia="fr-FR"/>
              </w:rPr>
            </w:pPr>
            <w:r w:rsidRPr="00B27579">
              <w:rPr>
                <w:rFonts w:cstheme="minorHAnsi"/>
                <w:lang w:val="fr-FR" w:eastAsia="fr-FR"/>
              </w:rPr>
              <w:t>Remarque :</w:t>
            </w:r>
          </w:p>
          <w:p w14:paraId="102E4BFA" w14:textId="77777777" w:rsidR="00553981" w:rsidRPr="00B27579" w:rsidRDefault="00553981" w:rsidP="00553981">
            <w:pPr>
              <w:numPr>
                <w:ilvl w:val="0"/>
                <w:numId w:val="22"/>
              </w:numPr>
              <w:spacing w:after="0" w:line="240" w:lineRule="auto"/>
              <w:rPr>
                <w:rFonts w:cstheme="minorHAnsi"/>
                <w:lang w:val="fr-FR" w:eastAsia="fr-FR"/>
              </w:rPr>
            </w:pPr>
            <w:r w:rsidRPr="00B27579">
              <w:rPr>
                <w:rFonts w:cstheme="minorHAnsi"/>
                <w:lang w:val="fr-FR" w:eastAsia="fr-FR"/>
              </w:rPr>
              <w:t>Toutes les taxes et les frais doivent être inclus. Cela doit être précisé dans la proposition financière.</w:t>
            </w:r>
          </w:p>
          <w:p w14:paraId="5B257535" w14:textId="77777777" w:rsidR="00553981" w:rsidRPr="00B27579" w:rsidRDefault="00553981" w:rsidP="00553981">
            <w:pPr>
              <w:numPr>
                <w:ilvl w:val="0"/>
                <w:numId w:val="22"/>
              </w:numPr>
              <w:spacing w:after="0" w:line="240" w:lineRule="auto"/>
              <w:rPr>
                <w:rFonts w:cstheme="minorHAnsi"/>
                <w:lang w:val="fr-FR" w:eastAsia="fr-FR"/>
              </w:rPr>
            </w:pPr>
            <w:r w:rsidRPr="00B27579">
              <w:rPr>
                <w:rFonts w:cstheme="minorHAnsi"/>
                <w:lang w:val="fr-FR" w:eastAsia="fr-FR"/>
              </w:rPr>
              <w:t>Tous les frais pour la préparation de la proposition ne peuvent être remboursés comme un coût direct de la mission</w:t>
            </w:r>
          </w:p>
        </w:tc>
        <w:tc>
          <w:tcPr>
            <w:tcW w:w="8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0E65B8" w14:textId="77777777" w:rsidR="00553981" w:rsidRPr="00C40FF2" w:rsidRDefault="00553981" w:rsidP="00E61B6C">
            <w:pPr>
              <w:rPr>
                <w:rFonts w:cstheme="minorHAnsi"/>
                <w:lang w:val="fr-FR" w:eastAsia="fr-FR"/>
              </w:rPr>
            </w:pPr>
            <w:r>
              <w:rPr>
                <w:rFonts w:cstheme="minorHAnsi"/>
                <w:b/>
                <w:bCs/>
                <w:lang w:val="fr-FR" w:eastAsia="fr-FR"/>
              </w:rPr>
              <w:t>20</w:t>
            </w:r>
            <w:r w:rsidRPr="00B27579">
              <w:rPr>
                <w:rFonts w:cstheme="minorHAnsi"/>
                <w:b/>
                <w:bCs/>
                <w:lang w:val="fr-FR" w:eastAsia="fr-FR"/>
              </w:rPr>
              <w:t xml:space="preserve"> %</w:t>
            </w:r>
          </w:p>
        </w:tc>
      </w:tr>
    </w:tbl>
    <w:p w14:paraId="3B7202C0" w14:textId="77777777" w:rsidR="00422E8A" w:rsidRPr="00D72843" w:rsidRDefault="00422E8A" w:rsidP="008A5300">
      <w:pPr>
        <w:spacing w:after="0" w:line="240" w:lineRule="auto"/>
        <w:rPr>
          <w:rFonts w:ascii="Arial" w:eastAsia="Times New Roman" w:hAnsi="Arial" w:cs="Calibri"/>
          <w:spacing w:val="-5"/>
          <w:lang w:val="fr-FR"/>
        </w:rPr>
      </w:pPr>
    </w:p>
    <w:p w14:paraId="41BC0EB4" w14:textId="77777777" w:rsidR="00D72843" w:rsidRPr="00D72843" w:rsidRDefault="00D72843" w:rsidP="00E950CB">
      <w:pPr>
        <w:keepNext/>
        <w:numPr>
          <w:ilvl w:val="0"/>
          <w:numId w:val="11"/>
        </w:numPr>
        <w:spacing w:after="0" w:line="240" w:lineRule="auto"/>
        <w:jc w:val="both"/>
        <w:outlineLvl w:val="3"/>
        <w:rPr>
          <w:rFonts w:ascii="Calibri" w:eastAsia="Times New Roman" w:hAnsi="Calibri" w:cs="Calibri"/>
          <w:b/>
          <w:bCs/>
          <w:spacing w:val="-5"/>
          <w:lang w:val="en-GB"/>
        </w:rPr>
      </w:pPr>
      <w:r w:rsidRPr="00D72843">
        <w:rPr>
          <w:rFonts w:ascii="Calibri" w:eastAsia="Times New Roman" w:hAnsi="Calibri" w:cs="Calibri"/>
          <w:b/>
          <w:spacing w:val="-5"/>
          <w:lang w:val="fr-FR"/>
        </w:rPr>
        <w:t xml:space="preserve">Proposition de Prix </w:t>
      </w:r>
    </w:p>
    <w:p w14:paraId="668CDE23" w14:textId="77777777" w:rsidR="00D72843" w:rsidRPr="00D72843" w:rsidRDefault="00D72843" w:rsidP="00D72843">
      <w:pPr>
        <w:spacing w:after="0" w:line="240" w:lineRule="auto"/>
        <w:ind w:left="1080"/>
        <w:jc w:val="both"/>
        <w:rPr>
          <w:rFonts w:ascii="Calibri" w:eastAsia="Times New Roman" w:hAnsi="Calibri" w:cs="Calibri"/>
          <w:spacing w:val="-5"/>
          <w:lang w:val="en-GB"/>
        </w:rPr>
      </w:pPr>
    </w:p>
    <w:p w14:paraId="4532E13F" w14:textId="32816594" w:rsidR="00D72843" w:rsidRPr="00F60A7D" w:rsidRDefault="00C641A6" w:rsidP="00F60A7D">
      <w:pPr>
        <w:spacing w:after="0" w:line="240" w:lineRule="auto"/>
        <w:ind w:left="1080"/>
        <w:jc w:val="both"/>
        <w:rPr>
          <w:rFonts w:ascii="Calibri" w:eastAsia="Times New Roman" w:hAnsi="Calibri" w:cs="Calibri"/>
          <w:spacing w:val="-5"/>
          <w:lang w:val="fr-FR"/>
        </w:rPr>
      </w:pPr>
      <w:r>
        <w:rPr>
          <w:rFonts w:ascii="Calibri" w:eastAsia="Times New Roman" w:hAnsi="Calibri" w:cs="Calibri"/>
          <w:spacing w:val="-5"/>
          <w:lang w:val="fr-FR"/>
        </w:rPr>
        <w:t xml:space="preserve">D.1) </w:t>
      </w:r>
      <w:r w:rsidRPr="000E1672">
        <w:rPr>
          <w:rFonts w:ascii="Calibri" w:eastAsia="Times New Roman" w:hAnsi="Calibri" w:cs="Calibri"/>
          <w:spacing w:val="-5"/>
          <w:lang w:val="fr-FR"/>
        </w:rPr>
        <w:t xml:space="preserve">une offre de prix détaillée, incluant différents </w:t>
      </w:r>
      <w:r w:rsidR="0098697D">
        <w:rPr>
          <w:rFonts w:ascii="Calibri" w:eastAsia="Times New Roman" w:hAnsi="Calibri" w:cs="Calibri"/>
          <w:spacing w:val="-5"/>
          <w:lang w:val="fr-FR"/>
        </w:rPr>
        <w:t>services à fournir et autres couts administratifs liées à ces services.</w:t>
      </w:r>
    </w:p>
    <w:p w14:paraId="4BF80361" w14:textId="77777777" w:rsidR="00D72843" w:rsidRPr="00D72843" w:rsidRDefault="00D72843" w:rsidP="00D72843">
      <w:pPr>
        <w:autoSpaceDE w:val="0"/>
        <w:autoSpaceDN w:val="0"/>
        <w:spacing w:after="0" w:line="240" w:lineRule="auto"/>
        <w:ind w:left="720"/>
        <w:jc w:val="both"/>
        <w:rPr>
          <w:rFonts w:ascii="Calibri" w:eastAsia="Times New Roman" w:hAnsi="Calibri" w:cs="Calibri"/>
          <w:spacing w:val="-5"/>
          <w:lang w:val="fr-FR"/>
        </w:rPr>
      </w:pPr>
    </w:p>
    <w:p w14:paraId="04A683BF" w14:textId="77777777" w:rsidR="00F60A7D" w:rsidRPr="00F60A7D" w:rsidRDefault="00F60A7D" w:rsidP="00F60A7D">
      <w:pPr>
        <w:pStyle w:val="ListParagraph"/>
        <w:numPr>
          <w:ilvl w:val="0"/>
          <w:numId w:val="11"/>
        </w:numPr>
        <w:autoSpaceDE w:val="0"/>
        <w:autoSpaceDN w:val="0"/>
        <w:spacing w:after="0"/>
        <w:jc w:val="both"/>
        <w:rPr>
          <w:rFonts w:eastAsia="Times New Roman" w:cs="Calibri"/>
          <w:spacing w:val="-5"/>
          <w:lang w:val="fr-FR"/>
        </w:rPr>
      </w:pPr>
      <w:r w:rsidRPr="00F60A7D">
        <w:rPr>
          <w:rFonts w:eastAsia="Times New Roman" w:cs="Calibri"/>
          <w:spacing w:val="-5"/>
          <w:lang w:val="fr-FR"/>
        </w:rPr>
        <w:t>Termes de paiement</w:t>
      </w:r>
    </w:p>
    <w:p w14:paraId="0318F242" w14:textId="77777777" w:rsidR="00F60A7D" w:rsidRPr="00F60A7D" w:rsidRDefault="00F60A7D" w:rsidP="00F60A7D">
      <w:pPr>
        <w:pStyle w:val="ListParagraph"/>
        <w:numPr>
          <w:ilvl w:val="0"/>
          <w:numId w:val="0"/>
        </w:numPr>
        <w:autoSpaceDE w:val="0"/>
        <w:autoSpaceDN w:val="0"/>
        <w:spacing w:after="0"/>
        <w:ind w:left="720"/>
        <w:jc w:val="both"/>
        <w:rPr>
          <w:rFonts w:eastAsia="Times New Roman" w:cs="Calibri"/>
          <w:spacing w:val="-5"/>
          <w:lang w:val="fr-FR"/>
        </w:rPr>
      </w:pPr>
    </w:p>
    <w:p w14:paraId="6F128678" w14:textId="77777777" w:rsidR="00F60A7D" w:rsidRPr="00F60A7D" w:rsidRDefault="00F60A7D" w:rsidP="00F60A7D">
      <w:pPr>
        <w:autoSpaceDE w:val="0"/>
        <w:autoSpaceDN w:val="0"/>
        <w:spacing w:after="0" w:line="240" w:lineRule="auto"/>
        <w:ind w:left="720"/>
        <w:jc w:val="both"/>
        <w:rPr>
          <w:rFonts w:ascii="Calibri" w:eastAsia="Times New Roman" w:hAnsi="Calibri" w:cs="Calibri"/>
          <w:spacing w:val="-5"/>
          <w:lang w:val="fr-FR"/>
        </w:rPr>
      </w:pPr>
      <w:r w:rsidRPr="00F60A7D">
        <w:rPr>
          <w:rFonts w:ascii="Calibri" w:eastAsia="Times New Roman" w:hAnsi="Calibri" w:cs="Calibri"/>
          <w:spacing w:val="-5"/>
          <w:lang w:val="fr-FR"/>
        </w:rPr>
        <w:t>E.1) Le paiement final des sommes dues sera effectué par virement bancaire sur présentation de :</w:t>
      </w:r>
    </w:p>
    <w:p w14:paraId="34BDA827" w14:textId="77777777" w:rsidR="00F60A7D" w:rsidRPr="00F60A7D" w:rsidRDefault="00F60A7D" w:rsidP="00F60A7D">
      <w:pPr>
        <w:autoSpaceDE w:val="0"/>
        <w:autoSpaceDN w:val="0"/>
        <w:spacing w:after="0" w:line="240" w:lineRule="auto"/>
        <w:ind w:left="720"/>
        <w:jc w:val="both"/>
        <w:rPr>
          <w:rFonts w:ascii="Calibri" w:eastAsia="Times New Roman" w:hAnsi="Calibri" w:cs="Calibri"/>
          <w:spacing w:val="-5"/>
          <w:lang w:val="fr-FR"/>
        </w:rPr>
      </w:pPr>
      <w:r w:rsidRPr="00F60A7D">
        <w:rPr>
          <w:rFonts w:ascii="Calibri" w:eastAsia="Times New Roman" w:hAnsi="Calibri" w:cs="Calibri"/>
          <w:spacing w:val="-5"/>
          <w:lang w:val="fr-FR"/>
        </w:rPr>
        <w:t>a. Facture commerciale datée, signée et tamponnée</w:t>
      </w:r>
    </w:p>
    <w:p w14:paraId="6AE8A2A1" w14:textId="6CFD5720" w:rsidR="00F60A7D" w:rsidRPr="00F60A7D" w:rsidRDefault="00F60A7D" w:rsidP="00F60A7D">
      <w:pPr>
        <w:autoSpaceDE w:val="0"/>
        <w:autoSpaceDN w:val="0"/>
        <w:spacing w:after="0" w:line="240" w:lineRule="auto"/>
        <w:ind w:left="720"/>
        <w:jc w:val="both"/>
        <w:rPr>
          <w:rFonts w:ascii="Calibri" w:eastAsia="Times New Roman" w:hAnsi="Calibri" w:cs="Calibri"/>
          <w:spacing w:val="-5"/>
          <w:lang w:val="fr-FR"/>
        </w:rPr>
      </w:pPr>
      <w:r w:rsidRPr="00F60A7D">
        <w:rPr>
          <w:rFonts w:ascii="Calibri" w:eastAsia="Times New Roman" w:hAnsi="Calibri" w:cs="Calibri"/>
          <w:spacing w:val="-5"/>
          <w:lang w:val="fr-FR"/>
        </w:rPr>
        <w:t xml:space="preserve">b. </w:t>
      </w:r>
      <w:r w:rsidR="0098697D">
        <w:rPr>
          <w:rFonts w:ascii="Calibri" w:eastAsia="Times New Roman" w:hAnsi="Calibri" w:cs="Calibri"/>
          <w:spacing w:val="-5"/>
          <w:lang w:val="fr-FR"/>
        </w:rPr>
        <w:t xml:space="preserve">le rapport validé </w:t>
      </w:r>
      <w:r w:rsidR="0098697D" w:rsidRPr="00F60A7D">
        <w:rPr>
          <w:rFonts w:ascii="Calibri" w:eastAsia="Times New Roman" w:hAnsi="Calibri" w:cs="Calibri"/>
          <w:spacing w:val="-5"/>
          <w:lang w:val="fr-FR"/>
        </w:rPr>
        <w:t>par</w:t>
      </w:r>
      <w:r w:rsidRPr="00F60A7D">
        <w:rPr>
          <w:rFonts w:ascii="Calibri" w:eastAsia="Times New Roman" w:hAnsi="Calibri" w:cs="Calibri"/>
          <w:spacing w:val="-5"/>
          <w:lang w:val="fr-FR"/>
        </w:rPr>
        <w:t xml:space="preserve"> le représentant désigné de Malaria Consortium,</w:t>
      </w:r>
    </w:p>
    <w:p w14:paraId="79B3D8BF" w14:textId="4F7778F4" w:rsidR="00F60A7D" w:rsidRPr="00F60A7D" w:rsidRDefault="00F60A7D" w:rsidP="00F60A7D">
      <w:pPr>
        <w:numPr>
          <w:ilvl w:val="0"/>
          <w:numId w:val="3"/>
        </w:numPr>
        <w:autoSpaceDE w:val="0"/>
        <w:autoSpaceDN w:val="0"/>
        <w:spacing w:after="0" w:line="240" w:lineRule="auto"/>
        <w:jc w:val="both"/>
        <w:rPr>
          <w:rFonts w:ascii="Calibri" w:eastAsia="Times New Roman" w:hAnsi="Calibri" w:cs="Calibri"/>
          <w:spacing w:val="-5"/>
          <w:lang w:val="fr-FR"/>
        </w:rPr>
      </w:pPr>
      <w:r w:rsidRPr="00F60A7D">
        <w:rPr>
          <w:rFonts w:ascii="Calibri" w:eastAsia="Times New Roman" w:hAnsi="Calibri" w:cs="Calibri"/>
          <w:spacing w:val="-5"/>
          <w:lang w:val="fr-FR"/>
        </w:rPr>
        <w:t xml:space="preserve">c. </w:t>
      </w:r>
      <w:r w:rsidR="0098697D">
        <w:rPr>
          <w:rFonts w:ascii="Calibri" w:eastAsia="Times New Roman" w:hAnsi="Calibri" w:cs="Calibri"/>
          <w:spacing w:val="-5"/>
          <w:lang w:val="fr-FR"/>
        </w:rPr>
        <w:t>certificat de satisfaction</w:t>
      </w:r>
      <w:r w:rsidRPr="00F60A7D">
        <w:rPr>
          <w:rFonts w:ascii="Calibri" w:eastAsia="Times New Roman" w:hAnsi="Calibri" w:cs="Calibri"/>
          <w:spacing w:val="-5"/>
          <w:lang w:val="fr-FR"/>
        </w:rPr>
        <w:t xml:space="preserve"> signé par un représentant désigné de Malaria Consortium</w:t>
      </w:r>
      <w:r w:rsidR="0098697D">
        <w:rPr>
          <w:rFonts w:ascii="Calibri" w:eastAsia="Times New Roman" w:hAnsi="Calibri" w:cs="Calibri"/>
          <w:spacing w:val="-5"/>
          <w:lang w:val="fr-FR"/>
        </w:rPr>
        <w:t>.</w:t>
      </w:r>
    </w:p>
    <w:p w14:paraId="038F04B6" w14:textId="6347A610" w:rsidR="00F60A7D" w:rsidRPr="00F60A7D" w:rsidRDefault="00F60A7D" w:rsidP="00F60A7D">
      <w:pPr>
        <w:numPr>
          <w:ilvl w:val="0"/>
          <w:numId w:val="3"/>
        </w:numPr>
        <w:autoSpaceDE w:val="0"/>
        <w:autoSpaceDN w:val="0"/>
        <w:spacing w:after="0" w:line="240" w:lineRule="auto"/>
        <w:jc w:val="both"/>
        <w:rPr>
          <w:rFonts w:ascii="Calibri" w:eastAsia="Times New Roman" w:hAnsi="Calibri" w:cs="Calibri"/>
          <w:spacing w:val="-5"/>
          <w:lang w:val="fr-FR"/>
        </w:rPr>
      </w:pPr>
      <w:r w:rsidRPr="00F60A7D">
        <w:rPr>
          <w:rFonts w:ascii="Calibri" w:eastAsia="Times New Roman" w:hAnsi="Calibri" w:cs="Calibri"/>
          <w:spacing w:val="-5"/>
          <w:lang w:val="fr-FR"/>
        </w:rPr>
        <w:t xml:space="preserve">E.2) Les documents requis pour le paiement des sommes dues doivent être déposés au bureau de Malaria Consortium dans les 10 jours suivant livraison et acceptation des </w:t>
      </w:r>
      <w:r w:rsidR="0098697D">
        <w:rPr>
          <w:rFonts w:ascii="Calibri" w:eastAsia="Times New Roman" w:hAnsi="Calibri" w:cs="Calibri"/>
          <w:spacing w:val="-5"/>
          <w:lang w:val="fr-FR"/>
        </w:rPr>
        <w:t>services</w:t>
      </w:r>
      <w:r w:rsidRPr="00F60A7D">
        <w:rPr>
          <w:rFonts w:ascii="Calibri" w:eastAsia="Times New Roman" w:hAnsi="Calibri" w:cs="Calibri"/>
          <w:spacing w:val="-5"/>
          <w:lang w:val="fr-FR"/>
        </w:rPr>
        <w:t>.</w:t>
      </w:r>
    </w:p>
    <w:p w14:paraId="20B46E32" w14:textId="77777777" w:rsidR="00D72843" w:rsidRDefault="00F60A7D" w:rsidP="00F60A7D">
      <w:pPr>
        <w:numPr>
          <w:ilvl w:val="0"/>
          <w:numId w:val="3"/>
        </w:numPr>
        <w:autoSpaceDE w:val="0"/>
        <w:autoSpaceDN w:val="0"/>
        <w:spacing w:after="0" w:line="240" w:lineRule="auto"/>
        <w:jc w:val="both"/>
        <w:rPr>
          <w:rFonts w:ascii="Calibri" w:eastAsia="Times New Roman" w:hAnsi="Calibri" w:cs="Calibri"/>
          <w:spacing w:val="-5"/>
          <w:lang w:val="fr-FR"/>
        </w:rPr>
      </w:pPr>
      <w:r w:rsidRPr="00F60A7D">
        <w:rPr>
          <w:rFonts w:ascii="Calibri" w:eastAsia="Times New Roman" w:hAnsi="Calibri" w:cs="Calibri"/>
          <w:spacing w:val="-5"/>
          <w:lang w:val="fr-FR"/>
        </w:rPr>
        <w:t>E.3) Les sommes dues seront payables en totalité par Malaria Consortium sous 30 jours à compter de la date de réception de la facture. Aucun paiement ne sera fait avant la livraison des intrants et la soumission des documents ci-dessus listés.</w:t>
      </w:r>
      <w:r w:rsidR="00D72843" w:rsidRPr="00D72843">
        <w:rPr>
          <w:rFonts w:ascii="Calibri" w:eastAsia="Times New Roman" w:hAnsi="Calibri" w:cs="Calibri"/>
          <w:spacing w:val="-5"/>
          <w:lang w:val="fr-FR"/>
        </w:rPr>
        <w:t xml:space="preserve"> </w:t>
      </w:r>
    </w:p>
    <w:p w14:paraId="44F430DB" w14:textId="77777777" w:rsidR="00F60A7D" w:rsidRDefault="00F60A7D" w:rsidP="00F60A7D">
      <w:pPr>
        <w:autoSpaceDE w:val="0"/>
        <w:autoSpaceDN w:val="0"/>
        <w:spacing w:after="0" w:line="240" w:lineRule="auto"/>
        <w:ind w:left="1080"/>
        <w:jc w:val="both"/>
        <w:rPr>
          <w:rFonts w:ascii="Calibri" w:eastAsia="Times New Roman" w:hAnsi="Calibri" w:cs="Calibri"/>
          <w:spacing w:val="-5"/>
          <w:lang w:val="fr-FR"/>
        </w:rPr>
      </w:pPr>
    </w:p>
    <w:p w14:paraId="7DFCA130" w14:textId="69A7857F" w:rsidR="00D72843" w:rsidRPr="00D72843" w:rsidRDefault="00F60A7D" w:rsidP="0098697D">
      <w:pPr>
        <w:autoSpaceDE w:val="0"/>
        <w:autoSpaceDN w:val="0"/>
        <w:spacing w:after="0" w:line="240" w:lineRule="auto"/>
        <w:jc w:val="both"/>
        <w:rPr>
          <w:rFonts w:ascii="Calibri" w:eastAsia="Times New Roman" w:hAnsi="Calibri" w:cs="Calibri"/>
          <w:spacing w:val="-5"/>
          <w:lang w:val="fr-FR"/>
        </w:rPr>
      </w:pPr>
      <w:r>
        <w:rPr>
          <w:rFonts w:ascii="Calibri" w:eastAsia="Times New Roman" w:hAnsi="Calibri" w:cs="Calibri"/>
          <w:spacing w:val="-5"/>
          <w:lang w:val="fr-FR"/>
        </w:rPr>
        <w:t xml:space="preserve">                  </w:t>
      </w:r>
    </w:p>
    <w:p w14:paraId="5FC0AABE" w14:textId="77777777" w:rsidR="00D72843" w:rsidRPr="00D72843" w:rsidRDefault="00CE26F5" w:rsidP="00F60A7D">
      <w:pPr>
        <w:spacing w:after="0" w:line="240" w:lineRule="auto"/>
        <w:ind w:left="1080"/>
        <w:jc w:val="both"/>
        <w:rPr>
          <w:rFonts w:ascii="Calibri" w:eastAsia="Calibri" w:hAnsi="Calibri" w:cs="Calibri"/>
          <w:lang w:val="fr-FR"/>
        </w:rPr>
      </w:pPr>
      <w:r>
        <w:rPr>
          <w:rFonts w:ascii="Calibri" w:eastAsia="Times New Roman" w:hAnsi="Calibri" w:cs="Calibri"/>
          <w:lang w:val="fr-FR"/>
        </w:rPr>
        <w:t>E</w:t>
      </w:r>
      <w:r w:rsidR="00F60A7D">
        <w:rPr>
          <w:rFonts w:ascii="Calibri" w:eastAsia="Times New Roman" w:hAnsi="Calibri" w:cs="Calibri"/>
          <w:lang w:val="fr-FR"/>
        </w:rPr>
        <w:t>.4</w:t>
      </w:r>
      <w:r w:rsidR="00D72843" w:rsidRPr="00D72843">
        <w:rPr>
          <w:rFonts w:ascii="Calibri" w:eastAsia="Times New Roman" w:hAnsi="Calibri" w:cs="Calibri"/>
          <w:lang w:val="fr-FR"/>
        </w:rPr>
        <w:t xml:space="preserve">) Toutes marchandises perdues ou endommagées </w:t>
      </w:r>
      <w:r w:rsidR="00F60A7D" w:rsidRPr="000E1672">
        <w:rPr>
          <w:lang w:val="fr-FR"/>
        </w:rPr>
        <w:t>seront remplacées et livrées à la charge du fournisseur sous un maximum de 3 jours suivant la déclaration de dommages</w:t>
      </w:r>
    </w:p>
    <w:p w14:paraId="7D63220C" w14:textId="77777777" w:rsidR="00D72843" w:rsidRPr="00D72843" w:rsidRDefault="00D72843" w:rsidP="00D72843">
      <w:pPr>
        <w:spacing w:after="0" w:line="240" w:lineRule="auto"/>
        <w:jc w:val="both"/>
        <w:rPr>
          <w:rFonts w:ascii="Calibri" w:eastAsia="Calibri" w:hAnsi="Calibri" w:cs="Calibri"/>
          <w:lang w:val="fr-FR"/>
        </w:rPr>
      </w:pPr>
    </w:p>
    <w:p w14:paraId="5F1E1D32" w14:textId="77777777" w:rsidR="00D72843" w:rsidRPr="00D72843" w:rsidRDefault="00CE26F5" w:rsidP="00D72843">
      <w:pPr>
        <w:spacing w:after="0" w:line="240" w:lineRule="auto"/>
        <w:ind w:left="1080"/>
        <w:jc w:val="both"/>
        <w:rPr>
          <w:rFonts w:ascii="Calibri" w:eastAsia="Calibri" w:hAnsi="Calibri" w:cs="Calibri"/>
          <w:lang w:val="fr-FR"/>
        </w:rPr>
      </w:pPr>
      <w:r>
        <w:rPr>
          <w:rFonts w:ascii="Calibri" w:eastAsia="Times New Roman" w:hAnsi="Calibri" w:cs="Calibri"/>
          <w:spacing w:val="-5"/>
          <w:lang w:val="fr-FR"/>
        </w:rPr>
        <w:t>E</w:t>
      </w:r>
      <w:r w:rsidR="00D72843" w:rsidRPr="00D72843">
        <w:rPr>
          <w:rFonts w:ascii="Calibri" w:eastAsia="Times New Roman" w:hAnsi="Calibri" w:cs="Calibri"/>
          <w:spacing w:val="-5"/>
          <w:lang w:val="fr-FR"/>
        </w:rPr>
        <w:t xml:space="preserve">.5) Malaria Consortium </w:t>
      </w:r>
      <w:r w:rsidR="00D72843" w:rsidRPr="00D72843">
        <w:rPr>
          <w:rFonts w:ascii="Calibri" w:eastAsia="Times New Roman" w:hAnsi="Calibri" w:cs="Calibri"/>
          <w:lang w:val="fr-FR"/>
        </w:rPr>
        <w:t xml:space="preserve">appliquera des sanctions pour la livraison tardive pour chaque voyage basé sur ce qui suit : </w:t>
      </w:r>
    </w:p>
    <w:p w14:paraId="2152E44D" w14:textId="77777777" w:rsidR="00D72843" w:rsidRPr="00D72843" w:rsidRDefault="00D72843" w:rsidP="00D72843">
      <w:pPr>
        <w:autoSpaceDE w:val="0"/>
        <w:autoSpaceDN w:val="0"/>
        <w:spacing w:after="0" w:line="240" w:lineRule="auto"/>
        <w:ind w:left="993" w:hanging="567"/>
        <w:jc w:val="both"/>
        <w:rPr>
          <w:rFonts w:ascii="Calibri" w:eastAsia="Times New Roman" w:hAnsi="Calibri" w:cs="Calibri"/>
          <w:lang w:val="fr-FR"/>
        </w:rPr>
      </w:pPr>
    </w:p>
    <w:p w14:paraId="040D2F59" w14:textId="6E590385" w:rsidR="00D72843" w:rsidRPr="00D72843" w:rsidRDefault="00D72843" w:rsidP="00E950CB">
      <w:pPr>
        <w:numPr>
          <w:ilvl w:val="0"/>
          <w:numId w:val="18"/>
        </w:numPr>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0% du coût du cout des </w:t>
      </w:r>
      <w:r w:rsidR="0098697D">
        <w:rPr>
          <w:rFonts w:ascii="Calibri" w:eastAsia="Times New Roman" w:hAnsi="Calibri" w:cs="Calibri"/>
          <w:spacing w:val="-5"/>
          <w:lang w:val="fr-FR"/>
        </w:rPr>
        <w:t>services</w:t>
      </w:r>
      <w:r w:rsidRPr="00D72843">
        <w:rPr>
          <w:rFonts w:ascii="Calibri" w:eastAsia="Times New Roman" w:hAnsi="Calibri" w:cs="Calibri"/>
          <w:spacing w:val="-5"/>
          <w:lang w:val="fr-FR"/>
        </w:rPr>
        <w:t xml:space="preserve"> </w:t>
      </w:r>
      <w:r w:rsidR="0098697D">
        <w:rPr>
          <w:rFonts w:ascii="Calibri" w:eastAsia="Times New Roman" w:hAnsi="Calibri" w:cs="Calibri"/>
          <w:spacing w:val="-5"/>
          <w:lang w:val="fr-FR"/>
        </w:rPr>
        <w:t xml:space="preserve">biais de rapport </w:t>
      </w:r>
      <w:r w:rsidRPr="00D72843">
        <w:rPr>
          <w:rFonts w:ascii="Calibri" w:eastAsia="Times New Roman" w:hAnsi="Calibri" w:cs="Calibri"/>
          <w:spacing w:val="-5"/>
          <w:lang w:val="fr-FR"/>
        </w:rPr>
        <w:t>pour une livraison à la date et heure indiquée</w:t>
      </w:r>
    </w:p>
    <w:p w14:paraId="08DE26DA" w14:textId="05F80E04" w:rsidR="00D72843" w:rsidRPr="00D72843" w:rsidRDefault="00D72843" w:rsidP="00E950CB">
      <w:pPr>
        <w:numPr>
          <w:ilvl w:val="0"/>
          <w:numId w:val="18"/>
        </w:numPr>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1% du coût du cout </w:t>
      </w:r>
      <w:r w:rsidR="00456312">
        <w:rPr>
          <w:rFonts w:ascii="Calibri" w:eastAsia="Times New Roman" w:hAnsi="Calibri" w:cs="Calibri"/>
          <w:spacing w:val="-5"/>
          <w:lang w:val="fr-FR"/>
        </w:rPr>
        <w:t xml:space="preserve">pour le rapport livré </w:t>
      </w:r>
      <w:r w:rsidRPr="00D72843">
        <w:rPr>
          <w:rFonts w:ascii="Calibri" w:eastAsia="Times New Roman" w:hAnsi="Calibri" w:cs="Calibri"/>
          <w:spacing w:val="-5"/>
          <w:lang w:val="fr-FR"/>
        </w:rPr>
        <w:t>à la date indiquée, passé le délai horaire détaillé section C.2 du présent document</w:t>
      </w:r>
    </w:p>
    <w:p w14:paraId="4D85318A" w14:textId="08CD658A" w:rsidR="00D72843" w:rsidRPr="00D72843" w:rsidRDefault="00D72843" w:rsidP="00E950CB">
      <w:pPr>
        <w:numPr>
          <w:ilvl w:val="0"/>
          <w:numId w:val="18"/>
        </w:numPr>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3% du coût du cout pour</w:t>
      </w:r>
      <w:r w:rsidR="00456312">
        <w:rPr>
          <w:rFonts w:ascii="Calibri" w:eastAsia="Times New Roman" w:hAnsi="Calibri" w:cs="Calibri"/>
          <w:spacing w:val="-5"/>
          <w:lang w:val="fr-FR"/>
        </w:rPr>
        <w:t xml:space="preserve"> le rapport livré</w:t>
      </w:r>
      <w:r w:rsidRPr="00D72843">
        <w:rPr>
          <w:rFonts w:ascii="Calibri" w:eastAsia="Times New Roman" w:hAnsi="Calibri" w:cs="Calibri"/>
          <w:spacing w:val="-5"/>
          <w:lang w:val="fr-FR"/>
        </w:rPr>
        <w:t xml:space="preserve"> 1 à 4 jours suivant la date contractuelle.</w:t>
      </w:r>
    </w:p>
    <w:p w14:paraId="09CA6BC1" w14:textId="06B454AB" w:rsidR="00D72843" w:rsidRPr="00D72843" w:rsidRDefault="00D72843" w:rsidP="00E950CB">
      <w:pPr>
        <w:numPr>
          <w:ilvl w:val="0"/>
          <w:numId w:val="18"/>
        </w:numPr>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lastRenderedPageBreak/>
        <w:t xml:space="preserve">5% du coût du </w:t>
      </w:r>
      <w:r w:rsidR="00456312" w:rsidRPr="00D72843">
        <w:rPr>
          <w:rFonts w:ascii="Calibri" w:eastAsia="Times New Roman" w:hAnsi="Calibri" w:cs="Calibri"/>
          <w:spacing w:val="-5"/>
          <w:lang w:val="fr-FR"/>
        </w:rPr>
        <w:t>cout pour</w:t>
      </w:r>
      <w:r w:rsidRPr="00D72843">
        <w:rPr>
          <w:rFonts w:ascii="Calibri" w:eastAsia="Times New Roman" w:hAnsi="Calibri" w:cs="Calibri"/>
          <w:spacing w:val="-5"/>
          <w:lang w:val="fr-FR"/>
        </w:rPr>
        <w:t xml:space="preserve"> une livraison</w:t>
      </w:r>
      <w:r w:rsidR="00456312">
        <w:rPr>
          <w:rFonts w:ascii="Calibri" w:eastAsia="Times New Roman" w:hAnsi="Calibri" w:cs="Calibri"/>
          <w:spacing w:val="-5"/>
          <w:lang w:val="fr-FR"/>
        </w:rPr>
        <w:t xml:space="preserve"> de rapport dans les </w:t>
      </w:r>
      <w:r w:rsidR="00456312" w:rsidRPr="00D72843">
        <w:rPr>
          <w:rFonts w:ascii="Calibri" w:eastAsia="Times New Roman" w:hAnsi="Calibri" w:cs="Calibri"/>
          <w:spacing w:val="-5"/>
          <w:lang w:val="fr-FR"/>
        </w:rPr>
        <w:t>5</w:t>
      </w:r>
      <w:r w:rsidRPr="00D72843">
        <w:rPr>
          <w:rFonts w:ascii="Calibri" w:eastAsia="Times New Roman" w:hAnsi="Calibri" w:cs="Calibri"/>
          <w:spacing w:val="-5"/>
          <w:lang w:val="fr-FR"/>
        </w:rPr>
        <w:t xml:space="preserve"> à 7 jours suivant la date contractuelle.</w:t>
      </w:r>
    </w:p>
    <w:p w14:paraId="35947ED1" w14:textId="5660AE2F" w:rsidR="00D72843" w:rsidRPr="00D72843" w:rsidRDefault="00D72843" w:rsidP="00E950CB">
      <w:pPr>
        <w:numPr>
          <w:ilvl w:val="0"/>
          <w:numId w:val="18"/>
        </w:numPr>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40% du coût du </w:t>
      </w:r>
      <w:r w:rsidR="00456312" w:rsidRPr="00D72843">
        <w:rPr>
          <w:rFonts w:ascii="Calibri" w:eastAsia="Times New Roman" w:hAnsi="Calibri" w:cs="Calibri"/>
          <w:spacing w:val="-5"/>
          <w:lang w:val="fr-FR"/>
        </w:rPr>
        <w:t>cout pour</w:t>
      </w:r>
      <w:r w:rsidRPr="00D72843">
        <w:rPr>
          <w:rFonts w:ascii="Calibri" w:eastAsia="Times New Roman" w:hAnsi="Calibri" w:cs="Calibri"/>
          <w:spacing w:val="-5"/>
          <w:lang w:val="fr-FR"/>
        </w:rPr>
        <w:t xml:space="preserve"> une livraison </w:t>
      </w:r>
      <w:r w:rsidR="00456312">
        <w:rPr>
          <w:rFonts w:ascii="Calibri" w:eastAsia="Times New Roman" w:hAnsi="Calibri" w:cs="Calibri"/>
          <w:spacing w:val="-5"/>
          <w:lang w:val="fr-FR"/>
        </w:rPr>
        <w:t xml:space="preserve">de rapport </w:t>
      </w:r>
      <w:r w:rsidRPr="00D72843">
        <w:rPr>
          <w:rFonts w:ascii="Calibri" w:eastAsia="Times New Roman" w:hAnsi="Calibri" w:cs="Calibri"/>
          <w:spacing w:val="-5"/>
          <w:lang w:val="fr-FR"/>
        </w:rPr>
        <w:t>avec plus de 7 jours de retard sur la date contractuelle.</w:t>
      </w:r>
    </w:p>
    <w:p w14:paraId="1CD1D824" w14:textId="77777777" w:rsidR="00D72843" w:rsidRPr="00D72843" w:rsidRDefault="00D72843" w:rsidP="00E950CB">
      <w:pPr>
        <w:numPr>
          <w:ilvl w:val="0"/>
          <w:numId w:val="18"/>
        </w:numPr>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Rupture du contrat à partir de 15 jours de retard avec paiement de dommage subit.</w:t>
      </w:r>
    </w:p>
    <w:p w14:paraId="395DAA1B" w14:textId="77777777" w:rsidR="00D72843" w:rsidRPr="00D72843" w:rsidRDefault="00D72843" w:rsidP="00D72843">
      <w:pPr>
        <w:spacing w:after="0" w:line="240" w:lineRule="auto"/>
        <w:ind w:left="2160"/>
        <w:jc w:val="both"/>
        <w:rPr>
          <w:rFonts w:ascii="Calibri" w:eastAsia="Times New Roman" w:hAnsi="Calibri" w:cs="Calibri"/>
          <w:spacing w:val="-5"/>
          <w:lang w:val="fr-FR"/>
        </w:rPr>
      </w:pPr>
    </w:p>
    <w:p w14:paraId="59539D28" w14:textId="7A58067F" w:rsidR="00D72843" w:rsidRPr="00D72843" w:rsidRDefault="00D72843" w:rsidP="00D72843">
      <w:pPr>
        <w:spacing w:after="0" w:line="240" w:lineRule="auto"/>
        <w:ind w:left="284"/>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Note : les factures </w:t>
      </w:r>
      <w:r w:rsidR="00CE26F5">
        <w:rPr>
          <w:rFonts w:ascii="Calibri" w:eastAsia="Times New Roman" w:hAnsi="Calibri" w:cs="Calibri"/>
          <w:spacing w:val="-5"/>
          <w:lang w:val="fr-FR"/>
        </w:rPr>
        <w:t xml:space="preserve">finales remises par le </w:t>
      </w:r>
      <w:r w:rsidR="00437D38">
        <w:rPr>
          <w:rFonts w:ascii="Calibri" w:eastAsia="Times New Roman" w:hAnsi="Calibri" w:cs="Calibri"/>
          <w:spacing w:val="-5"/>
          <w:lang w:val="fr-FR"/>
        </w:rPr>
        <w:t xml:space="preserve">fournisseur </w:t>
      </w:r>
      <w:r w:rsidR="00437D38" w:rsidRPr="00D72843">
        <w:rPr>
          <w:rFonts w:ascii="Calibri" w:eastAsia="Times New Roman" w:hAnsi="Calibri" w:cs="Calibri"/>
          <w:spacing w:val="-5"/>
          <w:lang w:val="fr-FR"/>
        </w:rPr>
        <w:t>détailleront</w:t>
      </w:r>
      <w:r w:rsidRPr="00D72843">
        <w:rPr>
          <w:rFonts w:ascii="Calibri" w:eastAsia="Times New Roman" w:hAnsi="Calibri" w:cs="Calibri"/>
          <w:spacing w:val="-5"/>
          <w:lang w:val="fr-FR"/>
        </w:rPr>
        <w:t xml:space="preserve"> les déductions liées aux dommages, pertes et pénalités listées ci-dessus.</w:t>
      </w:r>
    </w:p>
    <w:p w14:paraId="77C0EF14" w14:textId="77777777" w:rsidR="00D72843" w:rsidRPr="00D72843" w:rsidRDefault="00D72843" w:rsidP="00D72843">
      <w:pPr>
        <w:tabs>
          <w:tab w:val="num" w:pos="993"/>
        </w:tabs>
        <w:spacing w:after="0" w:line="240" w:lineRule="auto"/>
        <w:jc w:val="both"/>
        <w:rPr>
          <w:rFonts w:ascii="Calibri" w:eastAsia="Calibri" w:hAnsi="Calibri" w:cs="Calibri"/>
          <w:lang w:val="fr-FR"/>
        </w:rPr>
      </w:pPr>
    </w:p>
    <w:p w14:paraId="3FA0D384" w14:textId="77777777" w:rsidR="00D72843" w:rsidRPr="00D72843" w:rsidRDefault="00D72843" w:rsidP="00D72843">
      <w:pPr>
        <w:spacing w:after="0" w:line="240" w:lineRule="auto"/>
        <w:ind w:left="360"/>
        <w:jc w:val="both"/>
        <w:rPr>
          <w:rFonts w:ascii="Calibri" w:eastAsia="Times New Roman" w:hAnsi="Calibri" w:cs="Calibri"/>
          <w:lang w:val="fr-FR"/>
        </w:rPr>
      </w:pPr>
      <w:r w:rsidRPr="00D72843">
        <w:rPr>
          <w:rFonts w:ascii="Calibri" w:eastAsia="Times New Roman" w:hAnsi="Calibri" w:cs="Calibri"/>
          <w:lang w:val="fr-FR"/>
        </w:rPr>
        <w:t xml:space="preserve">E.6) Tous les paiements seront effectués en Francs CFA (XAF), par virement bancaire ou par chèque, </w:t>
      </w:r>
      <w:r w:rsidRPr="00D72843">
        <w:rPr>
          <w:rFonts w:ascii="Calibri" w:eastAsia="Times New Roman" w:hAnsi="Calibri" w:cs="Calibri"/>
          <w:b/>
          <w:lang w:val="fr-FR"/>
        </w:rPr>
        <w:t>exclusivement au</w:t>
      </w:r>
      <w:r w:rsidRPr="00D72843">
        <w:rPr>
          <w:rFonts w:ascii="Calibri" w:eastAsia="Times New Roman" w:hAnsi="Calibri" w:cs="Calibri"/>
          <w:lang w:val="fr-FR"/>
        </w:rPr>
        <w:t xml:space="preserve"> </w:t>
      </w:r>
      <w:r w:rsidRPr="00D72843">
        <w:rPr>
          <w:rFonts w:ascii="Calibri" w:eastAsia="Times New Roman" w:hAnsi="Calibri" w:cs="Calibri"/>
          <w:b/>
          <w:lang w:val="fr-FR"/>
        </w:rPr>
        <w:t>nom de la société contractante</w:t>
      </w:r>
      <w:r w:rsidRPr="00D72843">
        <w:rPr>
          <w:rFonts w:ascii="Calibri" w:eastAsia="Times New Roman" w:hAnsi="Calibri" w:cs="Calibri"/>
          <w:lang w:val="fr-FR"/>
        </w:rPr>
        <w:t xml:space="preserve">. </w:t>
      </w:r>
    </w:p>
    <w:p w14:paraId="17DF5588" w14:textId="77777777" w:rsidR="00D72843" w:rsidRPr="00D72843" w:rsidRDefault="00D72843" w:rsidP="00D72843">
      <w:pPr>
        <w:spacing w:after="0" w:line="240" w:lineRule="auto"/>
        <w:ind w:left="426"/>
        <w:jc w:val="both"/>
        <w:rPr>
          <w:rFonts w:ascii="Calibri" w:eastAsia="Calibri" w:hAnsi="Calibri" w:cs="Calibri"/>
          <w:lang w:val="fr-FR"/>
        </w:rPr>
      </w:pPr>
    </w:p>
    <w:p w14:paraId="6DE10F6E" w14:textId="0CE815D4" w:rsidR="00D72843" w:rsidRPr="00D72843" w:rsidRDefault="00D72843" w:rsidP="00D72843">
      <w:pPr>
        <w:spacing w:after="0" w:line="240" w:lineRule="auto"/>
        <w:ind w:left="360"/>
        <w:jc w:val="both"/>
        <w:rPr>
          <w:rFonts w:ascii="Calibri" w:eastAsia="Times New Roman" w:hAnsi="Calibri" w:cs="Calibri"/>
          <w:lang w:val="fr-FR"/>
        </w:rPr>
      </w:pPr>
      <w:r w:rsidRPr="00D72843">
        <w:rPr>
          <w:rFonts w:ascii="Calibri" w:eastAsia="Times New Roman" w:hAnsi="Calibri" w:cs="Calibri"/>
          <w:lang w:val="fr-FR"/>
        </w:rPr>
        <w:t xml:space="preserve">E.7) Les critères d’évaluation décrits </w:t>
      </w:r>
      <w:r w:rsidR="00456312">
        <w:rPr>
          <w:rFonts w:ascii="Calibri" w:eastAsia="Times New Roman" w:hAnsi="Calibri" w:cs="Calibri"/>
          <w:lang w:val="fr-FR"/>
        </w:rPr>
        <w:t xml:space="preserve">ci haut au point E </w:t>
      </w:r>
      <w:r w:rsidRPr="00D72843">
        <w:rPr>
          <w:rFonts w:ascii="Calibri" w:eastAsia="Times New Roman" w:hAnsi="Calibri" w:cs="Calibri"/>
          <w:lang w:val="fr-FR"/>
        </w:rPr>
        <w:t xml:space="preserve">seront utilisés pour évaluer les offres. </w:t>
      </w:r>
    </w:p>
    <w:p w14:paraId="6E19E4AC" w14:textId="77777777" w:rsidR="00D72843" w:rsidRPr="00D72843" w:rsidRDefault="00D72843" w:rsidP="00D72843">
      <w:pPr>
        <w:spacing w:after="0" w:line="240" w:lineRule="auto"/>
        <w:ind w:left="1080"/>
        <w:jc w:val="both"/>
        <w:rPr>
          <w:rFonts w:ascii="Arial" w:eastAsia="Times New Roman" w:hAnsi="Arial" w:cs="Times New Roman"/>
          <w:spacing w:val="-5"/>
          <w:sz w:val="20"/>
          <w:szCs w:val="20"/>
          <w:lang w:val="fr-FR"/>
        </w:rPr>
      </w:pPr>
    </w:p>
    <w:p w14:paraId="7266821C" w14:textId="77777777" w:rsidR="00D72843" w:rsidRPr="00D72843" w:rsidRDefault="00D72843" w:rsidP="00D72843">
      <w:pPr>
        <w:spacing w:after="0" w:line="240" w:lineRule="auto"/>
        <w:ind w:left="1080"/>
        <w:jc w:val="both"/>
        <w:rPr>
          <w:rFonts w:ascii="Arial" w:eastAsia="Times New Roman" w:hAnsi="Arial" w:cs="Times New Roman"/>
          <w:spacing w:val="-5"/>
          <w:sz w:val="20"/>
          <w:szCs w:val="20"/>
          <w:lang w:val="fr-FR"/>
        </w:rPr>
      </w:pPr>
    </w:p>
    <w:p w14:paraId="619A4E1A" w14:textId="77777777" w:rsidR="00D72843" w:rsidRPr="00D72843" w:rsidRDefault="00D72843" w:rsidP="00D72843">
      <w:pPr>
        <w:spacing w:after="0" w:line="240" w:lineRule="auto"/>
        <w:ind w:left="1080"/>
        <w:jc w:val="both"/>
        <w:rPr>
          <w:rFonts w:ascii="Arial" w:eastAsia="Times New Roman" w:hAnsi="Arial" w:cs="Times New Roman"/>
          <w:spacing w:val="-5"/>
          <w:sz w:val="20"/>
          <w:szCs w:val="20"/>
          <w:lang w:val="fr-FR"/>
        </w:rPr>
      </w:pPr>
    </w:p>
    <w:p w14:paraId="77B324DE" w14:textId="77777777" w:rsidR="00D72843" w:rsidRPr="00D72843" w:rsidRDefault="00D72843" w:rsidP="00D72843">
      <w:pPr>
        <w:spacing w:after="0" w:line="240" w:lineRule="auto"/>
        <w:ind w:left="1080"/>
        <w:jc w:val="both"/>
        <w:rPr>
          <w:rFonts w:ascii="Arial" w:eastAsia="Times New Roman" w:hAnsi="Arial" w:cs="Times New Roman"/>
          <w:spacing w:val="-5"/>
          <w:sz w:val="20"/>
          <w:szCs w:val="20"/>
          <w:lang w:val="fr-FR"/>
        </w:rPr>
      </w:pPr>
    </w:p>
    <w:p w14:paraId="2D2F87A2" w14:textId="77777777" w:rsidR="006B388A" w:rsidRDefault="006B388A">
      <w:pPr>
        <w:rPr>
          <w:rFonts w:ascii="Arial" w:eastAsia="Times New Roman" w:hAnsi="Arial" w:cs="Times New Roman"/>
          <w:spacing w:val="-5"/>
          <w:sz w:val="20"/>
          <w:szCs w:val="20"/>
          <w:lang w:val="fr-FR"/>
        </w:rPr>
      </w:pPr>
      <w:r>
        <w:rPr>
          <w:rFonts w:ascii="Arial" w:eastAsia="Times New Roman" w:hAnsi="Arial" w:cs="Times New Roman"/>
          <w:spacing w:val="-5"/>
          <w:sz w:val="20"/>
          <w:szCs w:val="20"/>
          <w:lang w:val="fr-FR"/>
        </w:rPr>
        <w:br w:type="page"/>
      </w:r>
    </w:p>
    <w:p w14:paraId="0F7589EE" w14:textId="77777777" w:rsidR="009535ED" w:rsidRDefault="009535ED" w:rsidP="00D72843">
      <w:pPr>
        <w:spacing w:after="200" w:line="240" w:lineRule="auto"/>
        <w:contextualSpacing/>
        <w:jc w:val="both"/>
        <w:rPr>
          <w:rFonts w:ascii="Calibri" w:eastAsia="Calibri" w:hAnsi="Calibri" w:cs="Calibri"/>
          <w:b/>
          <w:lang w:val="fr-FR"/>
        </w:rPr>
        <w:sectPr w:rsidR="009535ED" w:rsidSect="00422E8A">
          <w:headerReference w:type="default" r:id="rId9"/>
          <w:footerReference w:type="even" r:id="rId10"/>
          <w:footerReference w:type="default" r:id="rId11"/>
          <w:pgSz w:w="12240" w:h="15840"/>
          <w:pgMar w:top="1418" w:right="1418" w:bottom="1418" w:left="1418" w:header="720" w:footer="720" w:gutter="0"/>
          <w:cols w:space="720"/>
          <w:docGrid w:linePitch="299"/>
        </w:sectPr>
      </w:pPr>
    </w:p>
    <w:p w14:paraId="3FA17110" w14:textId="396641B9" w:rsidR="00476D60" w:rsidRDefault="00D973EF">
      <w:pPr>
        <w:rPr>
          <w:rFonts w:ascii="Calibri" w:eastAsia="Times New Roman" w:hAnsi="Calibri" w:cs="Calibri"/>
          <w:b/>
          <w:spacing w:val="-5"/>
          <w:lang w:val="fr-FR"/>
        </w:rPr>
      </w:pPr>
      <w:r>
        <w:rPr>
          <w:rFonts w:ascii="Calibri" w:eastAsia="Times New Roman" w:hAnsi="Calibri" w:cs="Calibri"/>
          <w:b/>
          <w:spacing w:val="-5"/>
          <w:lang w:val="fr-FR"/>
        </w:rPr>
        <w:lastRenderedPageBreak/>
        <w:t xml:space="preserve">Annexe </w:t>
      </w:r>
      <w:r w:rsidR="00456312">
        <w:rPr>
          <w:rFonts w:ascii="Calibri" w:eastAsia="Times New Roman" w:hAnsi="Calibri" w:cs="Calibri"/>
          <w:b/>
          <w:spacing w:val="-5"/>
          <w:lang w:val="fr-FR"/>
        </w:rPr>
        <w:t>1</w:t>
      </w:r>
      <w:r w:rsidR="00476D60">
        <w:rPr>
          <w:rFonts w:ascii="Calibri" w:eastAsia="Times New Roman" w:hAnsi="Calibri" w:cs="Calibri"/>
          <w:b/>
          <w:spacing w:val="-5"/>
          <w:lang w:val="fr-FR"/>
        </w:rPr>
        <w:t xml:space="preserve"> :</w:t>
      </w:r>
      <w:r>
        <w:rPr>
          <w:rFonts w:ascii="Calibri" w:eastAsia="Times New Roman" w:hAnsi="Calibri" w:cs="Calibri"/>
          <w:b/>
          <w:spacing w:val="-5"/>
          <w:lang w:val="fr-FR"/>
        </w:rPr>
        <w:t xml:space="preserve"> </w:t>
      </w:r>
      <w:r w:rsidR="00476D60">
        <w:rPr>
          <w:rFonts w:ascii="Calibri" w:eastAsia="Times New Roman" w:hAnsi="Calibri" w:cs="Calibri"/>
          <w:b/>
          <w:spacing w:val="-5"/>
          <w:lang w:val="fr-FR"/>
        </w:rPr>
        <w:t>Termes de références de l’enquête LQAS</w:t>
      </w:r>
    </w:p>
    <w:p w14:paraId="6A3B5976" w14:textId="77777777" w:rsidR="00476D60" w:rsidRPr="00257D0C" w:rsidRDefault="00476D60" w:rsidP="00476D60">
      <w:pPr>
        <w:spacing w:line="276" w:lineRule="auto"/>
        <w:jc w:val="center"/>
        <w:rPr>
          <w:rFonts w:ascii="Candara" w:hAnsi="Candara" w:cs="Arial"/>
          <w:b/>
          <w:sz w:val="32"/>
          <w:szCs w:val="32"/>
          <w:u w:val="single"/>
          <w:lang w:val="fr-FR"/>
        </w:rPr>
      </w:pPr>
      <w:r w:rsidRPr="00257D0C">
        <w:rPr>
          <w:rFonts w:ascii="Candara" w:hAnsi="Candara" w:cs="Arial"/>
          <w:b/>
          <w:sz w:val="32"/>
          <w:szCs w:val="32"/>
          <w:u w:val="single"/>
          <w:lang w:val="fr-FR"/>
        </w:rPr>
        <w:t>TERME DE REFERENCE(TDR)/LQAS</w:t>
      </w:r>
    </w:p>
    <w:p w14:paraId="01E401FA" w14:textId="77777777" w:rsidR="00476D60" w:rsidRDefault="00476D60" w:rsidP="00476D60">
      <w:pPr>
        <w:spacing w:line="276" w:lineRule="auto"/>
        <w:jc w:val="both"/>
        <w:rPr>
          <w:rFonts w:ascii="Candara" w:hAnsi="Candara" w:cs="Arial"/>
          <w:b/>
          <w:sz w:val="24"/>
          <w:szCs w:val="24"/>
          <w:lang w:val="fr-FR"/>
        </w:rPr>
      </w:pPr>
    </w:p>
    <w:p w14:paraId="232C7BD6" w14:textId="77777777" w:rsidR="00476D60" w:rsidRDefault="00476D60" w:rsidP="00476D60">
      <w:pPr>
        <w:spacing w:line="276" w:lineRule="auto"/>
        <w:jc w:val="both"/>
        <w:rPr>
          <w:rFonts w:ascii="Candara" w:hAnsi="Candara" w:cs="Arial"/>
          <w:b/>
          <w:sz w:val="24"/>
          <w:szCs w:val="24"/>
          <w:lang w:val="fr-FR"/>
        </w:rPr>
      </w:pPr>
    </w:p>
    <w:p w14:paraId="7C977411" w14:textId="77777777" w:rsidR="00476D60" w:rsidRPr="00C002EC" w:rsidRDefault="00476D60" w:rsidP="00476D60">
      <w:pPr>
        <w:spacing w:line="276" w:lineRule="auto"/>
        <w:jc w:val="both"/>
        <w:rPr>
          <w:rFonts w:ascii="Candara" w:hAnsi="Candara" w:cs="Arial"/>
          <w:b/>
          <w:sz w:val="28"/>
          <w:szCs w:val="28"/>
          <w:lang w:val="fr-FR"/>
        </w:rPr>
      </w:pPr>
      <w:r>
        <w:rPr>
          <w:rFonts w:ascii="Candara" w:hAnsi="Candara" w:cs="Arial"/>
          <w:b/>
          <w:sz w:val="28"/>
          <w:szCs w:val="28"/>
          <w:lang w:val="fr-FR"/>
        </w:rPr>
        <w:t xml:space="preserve">1. </w:t>
      </w:r>
      <w:r w:rsidRPr="00C002EC">
        <w:rPr>
          <w:rFonts w:ascii="Candara" w:hAnsi="Candara" w:cs="Arial"/>
          <w:b/>
          <w:sz w:val="28"/>
          <w:szCs w:val="28"/>
          <w:lang w:val="fr-FR"/>
        </w:rPr>
        <w:t>Contexte/Justification</w:t>
      </w:r>
    </w:p>
    <w:p w14:paraId="594CB147" w14:textId="77777777" w:rsidR="00476D60" w:rsidRDefault="00476D60" w:rsidP="00476D60">
      <w:pPr>
        <w:spacing w:line="276" w:lineRule="auto"/>
        <w:jc w:val="both"/>
        <w:rPr>
          <w:rFonts w:ascii="Candara" w:hAnsi="Candara" w:cs="Arial"/>
          <w:b/>
          <w:sz w:val="24"/>
          <w:szCs w:val="24"/>
          <w:lang w:val="fr-FR"/>
        </w:rPr>
      </w:pPr>
    </w:p>
    <w:p w14:paraId="6E39C96E" w14:textId="77777777" w:rsidR="00476D60" w:rsidRPr="00F544E6" w:rsidRDefault="00476D60" w:rsidP="00476D60">
      <w:pPr>
        <w:spacing w:after="120" w:line="360" w:lineRule="auto"/>
        <w:jc w:val="both"/>
        <w:rPr>
          <w:rFonts w:ascii="Candara" w:hAnsi="Candara" w:cs="Arial"/>
          <w:lang w:val="fr-FR"/>
        </w:rPr>
      </w:pPr>
      <w:r w:rsidRPr="00F544E6">
        <w:rPr>
          <w:rFonts w:ascii="Candara" w:hAnsi="Candara" w:cs="Arial"/>
          <w:lang w:val="fr-FR"/>
        </w:rPr>
        <w:t>Le Tchad à l’instar des autres pays de Malaria consortium évalue la mise en œuvre des cycles de la campagne CPS à travers une</w:t>
      </w:r>
      <w:r>
        <w:rPr>
          <w:rFonts w:ascii="Candara" w:hAnsi="Candara" w:cs="Arial"/>
          <w:lang w:val="fr-FR"/>
        </w:rPr>
        <w:t xml:space="preserve"> évaluation</w:t>
      </w:r>
      <w:r w:rsidRPr="00F544E6">
        <w:rPr>
          <w:rFonts w:ascii="Candara" w:hAnsi="Candara" w:cs="Arial"/>
          <w:lang w:val="fr-FR"/>
        </w:rPr>
        <w:t xml:space="preserve"> dite </w:t>
      </w:r>
      <w:r>
        <w:rPr>
          <w:rFonts w:ascii="Candara" w:hAnsi="Candara" w:cs="Arial"/>
          <w:lang w:val="fr-FR"/>
        </w:rPr>
        <w:t xml:space="preserve">enquête </w:t>
      </w:r>
      <w:r w:rsidRPr="00F544E6">
        <w:rPr>
          <w:rFonts w:ascii="Candara" w:hAnsi="Candara" w:cs="Arial"/>
          <w:lang w:val="fr-FR"/>
        </w:rPr>
        <w:t xml:space="preserve">de </w:t>
      </w:r>
      <w:r>
        <w:rPr>
          <w:rFonts w:ascii="Candara" w:hAnsi="Candara" w:cs="Arial"/>
          <w:lang w:val="fr-FR"/>
        </w:rPr>
        <w:t>fin de cycle (LQAS)</w:t>
      </w:r>
      <w:r w:rsidRPr="00F544E6">
        <w:rPr>
          <w:rFonts w:ascii="Candara" w:hAnsi="Candara" w:cs="Arial"/>
          <w:lang w:val="fr-FR"/>
        </w:rPr>
        <w:t xml:space="preserve">. Celle-ci est réalisée par Malaria Consortium à la fin de </w:t>
      </w:r>
      <w:r>
        <w:rPr>
          <w:rFonts w:ascii="Candara" w:hAnsi="Candara" w:cs="Arial"/>
          <w:lang w:val="fr-FR"/>
        </w:rPr>
        <w:t xml:space="preserve">chaque cycle durant </w:t>
      </w:r>
      <w:r w:rsidRPr="00F544E6">
        <w:rPr>
          <w:rFonts w:ascii="Candara" w:hAnsi="Candara" w:cs="Arial"/>
          <w:lang w:val="fr-FR"/>
        </w:rPr>
        <w:t xml:space="preserve">la campagne pour déterminer dans quelle mesure le projet de chimio prévention du paludisme saisonnier de Malaria Consortium a permis de traiter avec succès les enfants de </w:t>
      </w:r>
      <w:r>
        <w:rPr>
          <w:rFonts w:ascii="Candara" w:hAnsi="Candara" w:cs="Arial"/>
          <w:lang w:val="fr-FR"/>
        </w:rPr>
        <w:t>3 – 59 mois au Tchad</w:t>
      </w:r>
      <w:r w:rsidRPr="00F544E6">
        <w:rPr>
          <w:rFonts w:ascii="Candara" w:hAnsi="Candara" w:cs="Arial"/>
          <w:lang w:val="fr-FR"/>
        </w:rPr>
        <w:t>.</w:t>
      </w:r>
    </w:p>
    <w:p w14:paraId="39F17C98" w14:textId="77777777" w:rsidR="00476D60" w:rsidRPr="00F544E6" w:rsidRDefault="00476D60" w:rsidP="00476D60">
      <w:pPr>
        <w:spacing w:line="360" w:lineRule="auto"/>
        <w:jc w:val="both"/>
        <w:rPr>
          <w:rFonts w:ascii="Candara" w:hAnsi="Candara" w:cs="Arial"/>
          <w:lang w:val="fr-FR"/>
        </w:rPr>
      </w:pPr>
      <w:r w:rsidRPr="00F544E6">
        <w:rPr>
          <w:rFonts w:ascii="Candara" w:hAnsi="Candara" w:cs="Arial"/>
          <w:lang w:val="fr-FR"/>
        </w:rPr>
        <w:t>La méthodologie utilisée est celle de LQAS qui est une méthode standard d’évaluation du programme en analysant les données recueillies auprès d’un petit échantillon. Elle a été développée dans les années 1920 pour des contrôles de qualité dans l’industrie.  Au milieu des années 80 elle a été adaptée pour évaluer des programmes de santé.  En 1991, un rapport de l’Organisation Mondiale de la Santé (OMS) sur les méthodes épidémiologiques et statistiques pour l’évaluation rapide des systèmes de santé a conclu que le LQAS était une des méthodes disponible</w:t>
      </w:r>
      <w:r>
        <w:rPr>
          <w:rFonts w:ascii="Candara" w:hAnsi="Candara" w:cs="Arial"/>
          <w:lang w:val="fr-FR"/>
        </w:rPr>
        <w:t>s</w:t>
      </w:r>
      <w:r w:rsidRPr="00F544E6">
        <w:rPr>
          <w:rFonts w:ascii="Candara" w:hAnsi="Candara" w:cs="Arial"/>
          <w:lang w:val="fr-FR"/>
        </w:rPr>
        <w:t xml:space="preserve"> la plus pratique et a encouragé son développement pour continuer à surveiller les programmes de santé (</w:t>
      </w:r>
      <w:proofErr w:type="spellStart"/>
      <w:r w:rsidRPr="00F544E6">
        <w:rPr>
          <w:rFonts w:ascii="Candara" w:hAnsi="Candara" w:cs="Arial"/>
          <w:lang w:val="fr-FR"/>
        </w:rPr>
        <w:t>Measure</w:t>
      </w:r>
      <w:proofErr w:type="spellEnd"/>
      <w:r w:rsidRPr="00F544E6">
        <w:rPr>
          <w:rFonts w:ascii="Candara" w:hAnsi="Candara" w:cs="Arial"/>
          <w:lang w:val="fr-FR"/>
        </w:rPr>
        <w:t xml:space="preserve"> 1998). Les informations recueillies au cours de l’enquête seront cruciales pour améliorer la mise en œuvre de la CPS en aidant à corriger les éventuels écarts de couverture dans les cycles suivants.</w:t>
      </w:r>
    </w:p>
    <w:p w14:paraId="0045A1F9" w14:textId="77777777" w:rsidR="00476D60" w:rsidRDefault="00476D60" w:rsidP="00476D60">
      <w:pPr>
        <w:spacing w:line="276" w:lineRule="auto"/>
        <w:jc w:val="both"/>
        <w:rPr>
          <w:rFonts w:ascii="Candara" w:hAnsi="Candara" w:cs="Arial"/>
          <w:b/>
          <w:sz w:val="24"/>
          <w:szCs w:val="24"/>
          <w:lang w:val="fr-FR"/>
        </w:rPr>
      </w:pPr>
    </w:p>
    <w:p w14:paraId="0A637D44" w14:textId="77777777" w:rsidR="00476D60" w:rsidRPr="00C002EC" w:rsidRDefault="00476D60" w:rsidP="00476D60">
      <w:pPr>
        <w:spacing w:line="360" w:lineRule="auto"/>
        <w:jc w:val="both"/>
        <w:rPr>
          <w:rFonts w:ascii="Candara" w:hAnsi="Candara" w:cs="Arial"/>
          <w:b/>
          <w:sz w:val="28"/>
          <w:szCs w:val="28"/>
          <w:lang w:val="fr-FR"/>
        </w:rPr>
      </w:pPr>
      <w:r>
        <w:rPr>
          <w:rFonts w:ascii="Candara" w:hAnsi="Candara" w:cs="Arial"/>
          <w:b/>
          <w:sz w:val="28"/>
          <w:szCs w:val="28"/>
          <w:lang w:val="fr-FR"/>
        </w:rPr>
        <w:t>2.</w:t>
      </w:r>
      <w:r w:rsidRPr="00C002EC">
        <w:rPr>
          <w:rFonts w:ascii="Candara" w:hAnsi="Candara" w:cs="Arial"/>
          <w:b/>
          <w:sz w:val="28"/>
          <w:szCs w:val="28"/>
          <w:lang w:val="fr-FR"/>
        </w:rPr>
        <w:t xml:space="preserve"> Objectifs </w:t>
      </w:r>
    </w:p>
    <w:p w14:paraId="25C948D6" w14:textId="77777777" w:rsidR="00476D60" w:rsidRPr="00F544E6" w:rsidRDefault="00476D60" w:rsidP="00476D60">
      <w:pPr>
        <w:spacing w:after="120" w:line="360" w:lineRule="auto"/>
        <w:jc w:val="both"/>
        <w:rPr>
          <w:rFonts w:ascii="Candara" w:hAnsi="Candara" w:cs="Arial"/>
          <w:lang w:val="fr-FR"/>
        </w:rPr>
      </w:pPr>
      <w:r w:rsidRPr="00F544E6">
        <w:rPr>
          <w:rFonts w:ascii="Candara" w:hAnsi="Candara" w:cs="Arial"/>
          <w:lang w:val="fr-FR"/>
        </w:rPr>
        <w:t xml:space="preserve">L’objectif principal de cette enquête de fin des cycles de la CPS est de déterminer dans quelle mesure le projet de chimio prévention du paludisme saisonnier de Malaria Consortium a permis de traiter avec succès les enfants de 3 – 59 mois au Tchad, particulièrement dans les 27 Districts Sanitaires où elle intervient. </w:t>
      </w:r>
    </w:p>
    <w:p w14:paraId="35FC0543" w14:textId="77777777" w:rsidR="00476D60" w:rsidRPr="00F544E6" w:rsidRDefault="00476D60" w:rsidP="00476D60">
      <w:pPr>
        <w:spacing w:after="120" w:line="360" w:lineRule="auto"/>
        <w:jc w:val="both"/>
        <w:rPr>
          <w:rFonts w:ascii="Candara" w:hAnsi="Candara" w:cs="Arial"/>
          <w:lang w:val="fr-FR"/>
        </w:rPr>
      </w:pPr>
      <w:r w:rsidRPr="00F544E6">
        <w:rPr>
          <w:rFonts w:ascii="Candara" w:hAnsi="Candara" w:cs="Arial"/>
          <w:lang w:val="fr-FR"/>
        </w:rPr>
        <w:t>Cette enquête vise à répondre à quatre questions fondamentales :</w:t>
      </w:r>
    </w:p>
    <w:p w14:paraId="2062A988" w14:textId="77777777" w:rsidR="00476D60" w:rsidRPr="00F544E6" w:rsidRDefault="00476D60" w:rsidP="00476D60">
      <w:pPr>
        <w:spacing w:after="120" w:line="360" w:lineRule="auto"/>
        <w:jc w:val="both"/>
        <w:rPr>
          <w:rFonts w:ascii="Candara" w:hAnsi="Candara" w:cs="Arial"/>
          <w:lang w:val="fr-FR"/>
        </w:rPr>
      </w:pPr>
      <w:r w:rsidRPr="00F544E6">
        <w:rPr>
          <w:rFonts w:ascii="Candara" w:hAnsi="Candara" w:cs="Arial"/>
          <w:lang w:val="fr-FR"/>
        </w:rPr>
        <w:lastRenderedPageBreak/>
        <w:t>1) Couverture : tous les enfants cibles ont-ils bénéficié de la CPS, sinon quels districts cibles ont été déficients ?</w:t>
      </w:r>
    </w:p>
    <w:p w14:paraId="040E7B76" w14:textId="77777777" w:rsidR="00476D60" w:rsidRPr="00F544E6" w:rsidRDefault="00476D60" w:rsidP="00476D60">
      <w:pPr>
        <w:spacing w:after="120" w:line="360" w:lineRule="auto"/>
        <w:jc w:val="both"/>
        <w:rPr>
          <w:rFonts w:ascii="Candara" w:hAnsi="Candara" w:cs="Arial"/>
          <w:lang w:val="fr-FR"/>
        </w:rPr>
      </w:pPr>
      <w:r w:rsidRPr="00F544E6">
        <w:rPr>
          <w:rFonts w:ascii="Candara" w:hAnsi="Candara" w:cs="Arial"/>
          <w:lang w:val="fr-FR"/>
        </w:rPr>
        <w:t>2) Respect du protocole : les enfants traités ont-ils reçus les traitements complets (DOT le premier jour, administration des doses des jours 2 et 3) ?</w:t>
      </w:r>
    </w:p>
    <w:p w14:paraId="3AA3020F" w14:textId="77777777" w:rsidR="00476D60" w:rsidRPr="00F544E6" w:rsidRDefault="00476D60" w:rsidP="00476D60">
      <w:pPr>
        <w:spacing w:after="120" w:line="360" w:lineRule="auto"/>
        <w:jc w:val="both"/>
        <w:rPr>
          <w:rFonts w:ascii="Candara" w:hAnsi="Candara" w:cs="Arial"/>
          <w:lang w:val="fr-FR"/>
        </w:rPr>
      </w:pPr>
      <w:r w:rsidRPr="00F544E6">
        <w:rPr>
          <w:rFonts w:ascii="Candara" w:hAnsi="Candara" w:cs="Arial"/>
          <w:lang w:val="fr-FR"/>
        </w:rPr>
        <w:t xml:space="preserve">3) Connaissance et information sur la CPS : Les responsables d’enfants sont-elles informées et possèdent-elles une bonne connaissance de la CPS ? </w:t>
      </w:r>
    </w:p>
    <w:p w14:paraId="1A92C907" w14:textId="77777777" w:rsidR="00476D60" w:rsidRPr="00F544E6" w:rsidRDefault="00476D60" w:rsidP="00476D60">
      <w:pPr>
        <w:spacing w:after="120" w:line="360" w:lineRule="auto"/>
        <w:jc w:val="both"/>
        <w:rPr>
          <w:rFonts w:ascii="Candara" w:hAnsi="Candara" w:cs="Arial"/>
          <w:lang w:val="fr-FR"/>
        </w:rPr>
      </w:pPr>
      <w:r w:rsidRPr="00F544E6">
        <w:rPr>
          <w:rFonts w:ascii="Candara" w:hAnsi="Candara" w:cs="Arial"/>
          <w:lang w:val="fr-FR"/>
        </w:rPr>
        <w:t>4) Protection contre COVID-19 : Les agents de santé communautaires utilisent-ils des équipements de protection individuelle ? Livrent-ils les informations sur la prévention de COVID-19 à la communauté ?</w:t>
      </w:r>
    </w:p>
    <w:p w14:paraId="0C36C147" w14:textId="77777777" w:rsidR="00476D60" w:rsidRPr="005030A1" w:rsidRDefault="00476D60" w:rsidP="00476D60">
      <w:pPr>
        <w:pStyle w:val="BodyText"/>
        <w:spacing w:line="360" w:lineRule="auto"/>
        <w:rPr>
          <w:rFonts w:ascii="Candara" w:hAnsi="Candara" w:cs="Arial"/>
          <w:sz w:val="22"/>
          <w:lang w:val="fr-FR"/>
        </w:rPr>
      </w:pPr>
      <w:r w:rsidRPr="00F544E6">
        <w:rPr>
          <w:rFonts w:ascii="Candara" w:hAnsi="Candara" w:cs="Arial"/>
          <w:sz w:val="22"/>
          <w:lang w:val="fr-FR"/>
        </w:rPr>
        <w:t>Les cibles de cette enquête LQAS sont les mères / gardiennes des enfants et les enfants de 3 à 59 mois ayant reçu un traitement lor</w:t>
      </w:r>
      <w:r>
        <w:rPr>
          <w:rFonts w:ascii="Candara" w:hAnsi="Candara" w:cs="Arial"/>
          <w:sz w:val="22"/>
          <w:lang w:val="fr-FR"/>
        </w:rPr>
        <w:t>s de la campagne CPS précédente</w:t>
      </w:r>
    </w:p>
    <w:p w14:paraId="2BA168F5" w14:textId="77777777" w:rsidR="00476D60" w:rsidRPr="007104FF" w:rsidRDefault="00476D60" w:rsidP="00476D60">
      <w:pPr>
        <w:spacing w:line="276" w:lineRule="auto"/>
        <w:jc w:val="both"/>
        <w:rPr>
          <w:rFonts w:ascii="Candara" w:hAnsi="Candara" w:cs="Arial"/>
          <w:b/>
          <w:sz w:val="24"/>
          <w:szCs w:val="24"/>
          <w:lang w:val="fr-FR"/>
        </w:rPr>
      </w:pPr>
      <w:r>
        <w:rPr>
          <w:rFonts w:ascii="Candara" w:hAnsi="Candara" w:cs="Arial"/>
          <w:b/>
          <w:sz w:val="24"/>
          <w:szCs w:val="24"/>
          <w:lang w:val="fr-FR"/>
        </w:rPr>
        <w:t>3.</w:t>
      </w:r>
      <w:r w:rsidRPr="007104FF">
        <w:rPr>
          <w:rFonts w:ascii="Candara" w:hAnsi="Candara" w:cs="Arial"/>
          <w:b/>
          <w:sz w:val="24"/>
          <w:szCs w:val="24"/>
          <w:lang w:val="fr-FR"/>
        </w:rPr>
        <w:t xml:space="preserve"> Plan d’échantillonnage de l’enquête de couverture de cycles CPS Tchad 20</w:t>
      </w:r>
      <w:r>
        <w:rPr>
          <w:rFonts w:ascii="Candara" w:hAnsi="Candara" w:cs="Arial"/>
          <w:b/>
          <w:sz w:val="24"/>
          <w:szCs w:val="24"/>
          <w:lang w:val="fr-FR"/>
        </w:rPr>
        <w:t>21</w:t>
      </w:r>
    </w:p>
    <w:p w14:paraId="6A444044" w14:textId="77777777" w:rsidR="00476D60" w:rsidRDefault="00476D60" w:rsidP="00476D60">
      <w:pPr>
        <w:spacing w:after="120" w:line="276" w:lineRule="auto"/>
        <w:jc w:val="both"/>
        <w:rPr>
          <w:rFonts w:ascii="Candara" w:hAnsi="Candara" w:cs="Arial"/>
          <w:sz w:val="24"/>
          <w:szCs w:val="24"/>
          <w:lang w:val="fr-FR"/>
        </w:rPr>
      </w:pPr>
    </w:p>
    <w:p w14:paraId="5762528F" w14:textId="77777777" w:rsidR="00476D60" w:rsidRPr="00F544E6" w:rsidRDefault="00476D60" w:rsidP="00476D60">
      <w:pPr>
        <w:spacing w:after="120" w:line="276" w:lineRule="auto"/>
        <w:jc w:val="both"/>
        <w:rPr>
          <w:rFonts w:ascii="Candara" w:hAnsi="Candara" w:cs="Arial"/>
          <w:lang w:val="fr-FR"/>
        </w:rPr>
      </w:pPr>
      <w:r w:rsidRPr="00F544E6">
        <w:rPr>
          <w:rFonts w:ascii="Candara" w:hAnsi="Candara" w:cs="Arial"/>
          <w:lang w:val="fr-FR"/>
        </w:rPr>
        <w:t>L’aspect le plus important du plan d’échantillonnage à adopter consiste à offrir une image plus fidèle de l’atteinte des objectifs de la CPS et à comprendre le degré du respect du protocole CPS. Les informations recueillies au cours de l’enquête seront cruciales pour améliorer la mise en œuvre de la CPS en aidant à corriger les éventuels écarts de couverture dans les cycles suivants.</w:t>
      </w:r>
    </w:p>
    <w:p w14:paraId="72061A54" w14:textId="77777777" w:rsidR="00476D60" w:rsidRPr="00F544E6" w:rsidRDefault="00476D60" w:rsidP="00476D60">
      <w:pPr>
        <w:spacing w:after="120" w:line="276" w:lineRule="auto"/>
        <w:jc w:val="both"/>
        <w:rPr>
          <w:rFonts w:ascii="Candara" w:hAnsi="Candara" w:cs="Arial"/>
          <w:lang w:val="fr-FR"/>
        </w:rPr>
      </w:pPr>
      <w:r w:rsidRPr="00F544E6">
        <w:rPr>
          <w:rFonts w:ascii="Candara" w:hAnsi="Candara" w:cs="Arial"/>
          <w:lang w:val="fr-FR"/>
        </w:rPr>
        <w:t>Cette enquête vise à répondre à quatre questions fondamentales :</w:t>
      </w:r>
    </w:p>
    <w:p w14:paraId="6F2CF54F" w14:textId="77777777" w:rsidR="00476D60" w:rsidRPr="00F544E6" w:rsidRDefault="00476D60" w:rsidP="00476D60">
      <w:pPr>
        <w:spacing w:after="120" w:line="276" w:lineRule="auto"/>
        <w:ind w:left="708"/>
        <w:jc w:val="both"/>
        <w:rPr>
          <w:rFonts w:ascii="Candara" w:hAnsi="Candara" w:cs="Arial"/>
          <w:lang w:val="fr-FR"/>
        </w:rPr>
      </w:pPr>
      <w:r w:rsidRPr="00F544E6">
        <w:rPr>
          <w:rFonts w:ascii="Candara" w:hAnsi="Candara" w:cs="Arial"/>
          <w:lang w:val="fr-FR"/>
        </w:rPr>
        <w:t>1) Couverture : tous les enfants cibles ont-ils bénéficié de la CPS, sinon quels districts cibles ont été déficients ?</w:t>
      </w:r>
    </w:p>
    <w:p w14:paraId="2ACBCE03" w14:textId="77777777" w:rsidR="00476D60" w:rsidRPr="00F544E6" w:rsidRDefault="00476D60" w:rsidP="00476D60">
      <w:pPr>
        <w:spacing w:after="120" w:line="276" w:lineRule="auto"/>
        <w:ind w:left="708"/>
        <w:jc w:val="both"/>
        <w:rPr>
          <w:rFonts w:ascii="Candara" w:hAnsi="Candara" w:cs="Arial"/>
          <w:lang w:val="fr-FR"/>
        </w:rPr>
      </w:pPr>
      <w:r w:rsidRPr="00F544E6">
        <w:rPr>
          <w:rFonts w:ascii="Candara" w:hAnsi="Candara" w:cs="Arial"/>
          <w:lang w:val="fr-FR"/>
        </w:rPr>
        <w:t>2) Respect du protocole : les enfants traités ont-ils reçus les traitements complets (DOT le premier jour, administration des doses des jours 2 et 3) ?</w:t>
      </w:r>
    </w:p>
    <w:p w14:paraId="67AB1BBC" w14:textId="77777777" w:rsidR="00476D60" w:rsidRPr="00F544E6" w:rsidRDefault="00476D60" w:rsidP="00476D60">
      <w:pPr>
        <w:spacing w:after="120" w:line="276" w:lineRule="auto"/>
        <w:ind w:left="708"/>
        <w:jc w:val="both"/>
        <w:rPr>
          <w:rFonts w:ascii="Candara" w:hAnsi="Candara" w:cs="Arial"/>
          <w:lang w:val="fr-FR"/>
        </w:rPr>
      </w:pPr>
      <w:r w:rsidRPr="00F544E6">
        <w:rPr>
          <w:rFonts w:ascii="Candara" w:hAnsi="Candara" w:cs="Arial"/>
          <w:lang w:val="fr-FR"/>
        </w:rPr>
        <w:t xml:space="preserve">3) Connaissance et information sur la CPS : Les responsables d’enfants sont-elles informées et possèdent-elles une bonne connaissance de la CPS ? </w:t>
      </w:r>
    </w:p>
    <w:p w14:paraId="2A53E28D" w14:textId="77777777" w:rsidR="00476D60" w:rsidRPr="00F544E6" w:rsidRDefault="00476D60" w:rsidP="00476D60">
      <w:pPr>
        <w:spacing w:after="120" w:line="276" w:lineRule="auto"/>
        <w:ind w:left="708"/>
        <w:jc w:val="both"/>
        <w:rPr>
          <w:rFonts w:ascii="Candara" w:hAnsi="Candara" w:cs="Arial"/>
          <w:lang w:val="fr-FR"/>
        </w:rPr>
      </w:pPr>
      <w:r w:rsidRPr="00F544E6">
        <w:rPr>
          <w:rFonts w:ascii="Candara" w:hAnsi="Candara" w:cs="Arial"/>
          <w:lang w:val="fr-FR"/>
        </w:rPr>
        <w:t>4) Protection contre COVID-19 : Les agents de santé communautaires utilisent-ils des équipements de protection individuelle ? Livrent-ils les informations sur la prévention de COVID-19 à la communauté ?</w:t>
      </w:r>
    </w:p>
    <w:p w14:paraId="6F26FA3C" w14:textId="77777777" w:rsidR="00476D60" w:rsidRPr="00F544E6" w:rsidRDefault="00476D60" w:rsidP="00476D60">
      <w:pPr>
        <w:spacing w:after="120" w:line="276" w:lineRule="auto"/>
        <w:jc w:val="both"/>
        <w:rPr>
          <w:rFonts w:ascii="Candara" w:hAnsi="Candara" w:cs="Arial"/>
          <w:lang w:val="fr-FR"/>
        </w:rPr>
      </w:pPr>
      <w:r w:rsidRPr="00F544E6">
        <w:rPr>
          <w:rFonts w:ascii="Candara" w:hAnsi="Candara" w:cs="Arial"/>
          <w:lang w:val="fr-FR"/>
        </w:rPr>
        <w:t>Pour répondre à ces questions, un choix judicieux du plan d'échantillonnage est primordial. Les informations suivantes devraient être prises en compte dans la sélection des unités d'échantillonnage.</w:t>
      </w:r>
    </w:p>
    <w:p w14:paraId="455AC6C8" w14:textId="77777777" w:rsidR="00476D60" w:rsidRPr="00F544E6" w:rsidRDefault="00476D60" w:rsidP="00476D60">
      <w:pPr>
        <w:spacing w:after="120" w:line="276" w:lineRule="auto"/>
        <w:jc w:val="both"/>
        <w:rPr>
          <w:rFonts w:ascii="Candara" w:hAnsi="Candara" w:cs="Arial"/>
          <w:lang w:val="fr-FR"/>
        </w:rPr>
      </w:pPr>
      <w:r w:rsidRPr="00F544E6">
        <w:rPr>
          <w:rFonts w:ascii="Candara" w:hAnsi="Candara" w:cs="Arial"/>
          <w:lang w:val="fr-FR"/>
        </w:rPr>
        <w:t>1) L'enquête devrait permettre de générer des résultats à l’échelle des districts de santé.</w:t>
      </w:r>
    </w:p>
    <w:p w14:paraId="4688D194" w14:textId="77777777" w:rsidR="00476D60" w:rsidRPr="00F544E6" w:rsidRDefault="00476D60" w:rsidP="00476D60">
      <w:pPr>
        <w:spacing w:after="120" w:line="276" w:lineRule="auto"/>
        <w:jc w:val="both"/>
        <w:rPr>
          <w:rFonts w:ascii="Candara" w:hAnsi="Candara" w:cs="Arial"/>
          <w:strike/>
          <w:lang w:val="fr-FR"/>
        </w:rPr>
      </w:pPr>
      <w:r w:rsidRPr="00F544E6">
        <w:rPr>
          <w:rFonts w:ascii="Candara" w:hAnsi="Candara" w:cs="Arial"/>
          <w:lang w:val="fr-FR"/>
        </w:rPr>
        <w:t xml:space="preserve">2) La sélection aléatoire des carrés/quartiers/villages se fera de manière aléatoire dans chaque zone de supervision constituée de 3 zones de responsabilités au sein des districts. </w:t>
      </w:r>
    </w:p>
    <w:p w14:paraId="09DCFC53" w14:textId="77777777" w:rsidR="00476D60" w:rsidRPr="00F544E6" w:rsidRDefault="00476D60" w:rsidP="00476D60">
      <w:pPr>
        <w:spacing w:after="120" w:line="276" w:lineRule="auto"/>
        <w:jc w:val="both"/>
        <w:rPr>
          <w:rFonts w:ascii="Candara" w:hAnsi="Candara" w:cs="Arial"/>
          <w:lang w:val="fr-FR"/>
        </w:rPr>
      </w:pPr>
      <w:r w:rsidRPr="00F544E6">
        <w:rPr>
          <w:rFonts w:ascii="Candara" w:hAnsi="Candara" w:cs="Arial"/>
          <w:lang w:val="fr-FR"/>
        </w:rPr>
        <w:lastRenderedPageBreak/>
        <w:t>3) La distribution de médicament CPS a été organisée sur la base de zone de responsabilité des centres de santé (CS). Une stratification basée sur les CS selon la pyramide sanitaire peut être envisagée. Ainsi, en répartissant les unités d'échantillonnage à tous les niveaux de la pyramide sanitaire, les enquêteurs saisiront d'autres facteurs de variabilité importants tels que la nature urbaine / rurale des communautés, le statut socio-économique des bénéficiaires et les « difficultés d’accessibilité » aux formations sanitaires. Cependant, l'attribution d'unités d'échantillonnage à tous les niveaux de la pyramide sanitaire générera une mobilisation logistique importante pour un faible gain, car les enquêteurs devront se rendre dans environ 300 centres de santé.</w:t>
      </w:r>
    </w:p>
    <w:p w14:paraId="7DC8C2A8" w14:textId="77777777" w:rsidR="00476D60" w:rsidRPr="00F544E6" w:rsidRDefault="00476D60" w:rsidP="00476D60">
      <w:pPr>
        <w:spacing w:after="120" w:line="276" w:lineRule="auto"/>
        <w:jc w:val="both"/>
        <w:rPr>
          <w:rFonts w:ascii="Candara" w:hAnsi="Candara" w:cs="Arial"/>
          <w:lang w:val="fr-FR"/>
        </w:rPr>
      </w:pPr>
      <w:r w:rsidRPr="00F544E6">
        <w:rPr>
          <w:rFonts w:ascii="Candara" w:hAnsi="Candara" w:cs="Arial"/>
          <w:lang w:val="fr-FR"/>
        </w:rPr>
        <w:t>4) Par ailleurs, bien que la délégation provinciale de la santé (DPS) soit une véritable entité administrative</w:t>
      </w:r>
      <w:r w:rsidRPr="00F544E6">
        <w:rPr>
          <w:rFonts w:ascii="Candara" w:hAnsi="Candara" w:cs="Arial"/>
          <w:color w:val="FF0000"/>
          <w:lang w:val="fr-FR"/>
        </w:rPr>
        <w:t>,</w:t>
      </w:r>
      <w:r w:rsidRPr="00F544E6">
        <w:rPr>
          <w:rFonts w:ascii="Candara" w:hAnsi="Candara" w:cs="Arial"/>
          <w:lang w:val="fr-FR"/>
        </w:rPr>
        <w:t xml:space="preserve"> l’intégration de ce niveau de stratification dans le schéma d’échantillonnage proposé risque de générer moins de gain statistique.</w:t>
      </w:r>
    </w:p>
    <w:p w14:paraId="19E0A450" w14:textId="77777777" w:rsidR="00476D60" w:rsidRPr="00F544E6" w:rsidRDefault="00476D60" w:rsidP="00476D60">
      <w:pPr>
        <w:spacing w:after="120" w:line="276" w:lineRule="auto"/>
        <w:jc w:val="both"/>
        <w:rPr>
          <w:rFonts w:ascii="Candara" w:hAnsi="Candara" w:cs="Arial"/>
          <w:lang w:val="fr-FR"/>
        </w:rPr>
      </w:pPr>
      <w:r w:rsidRPr="00F544E6">
        <w:rPr>
          <w:rFonts w:ascii="Candara" w:hAnsi="Candara" w:cs="Arial"/>
          <w:lang w:val="fr-FR"/>
        </w:rPr>
        <w:t xml:space="preserve">5) Les CS ont été créés sur une base démographique et leur implantation tient compte de la distance maximale à parcourir qui ne peut excéder 10 km ou 2 heures à pied. Chaque district sanitaire compte entre 4 et 30 CS, selon la taille et la démographie. Le tableau ci-dessous donne un aperçu du nombre de DPS. </w:t>
      </w:r>
    </w:p>
    <w:p w14:paraId="5A0C5F83" w14:textId="77777777" w:rsidR="00476D60" w:rsidRPr="00F544E6" w:rsidRDefault="00476D60" w:rsidP="00476D60">
      <w:pPr>
        <w:spacing w:after="120"/>
        <w:jc w:val="both"/>
        <w:rPr>
          <w:rFonts w:ascii="Candara" w:hAnsi="Candara" w:cs="Arial"/>
          <w:lang w:val="fr-FR"/>
        </w:rPr>
      </w:pPr>
      <w:r w:rsidRPr="00F544E6">
        <w:rPr>
          <w:rFonts w:ascii="Candara" w:hAnsi="Candara" w:cs="Arial"/>
          <w:lang w:val="fr-FR"/>
        </w:rPr>
        <w:t xml:space="preserve">Ainsi, nous obtenons au total un échantillon d’environ </w:t>
      </w:r>
      <w:r w:rsidRPr="006D2505">
        <w:rPr>
          <w:rFonts w:ascii="Candara" w:hAnsi="Candara" w:cs="Arial"/>
          <w:b/>
          <w:lang w:val="fr-FR"/>
        </w:rPr>
        <w:t>3625</w:t>
      </w:r>
      <w:r w:rsidRPr="00F544E6">
        <w:rPr>
          <w:rFonts w:ascii="Candara" w:hAnsi="Candara" w:cs="Arial"/>
          <w:b/>
          <w:lang w:val="fr-FR"/>
        </w:rPr>
        <w:t xml:space="preserve"> </w:t>
      </w:r>
      <w:r w:rsidRPr="00F544E6">
        <w:rPr>
          <w:rFonts w:ascii="Candara" w:hAnsi="Candara" w:cs="Arial"/>
          <w:lang w:val="fr-FR"/>
        </w:rPr>
        <w:t xml:space="preserve">concessions/ménages </w:t>
      </w:r>
      <w:r w:rsidRPr="006D2505">
        <w:rPr>
          <w:rFonts w:ascii="Candara" w:hAnsi="Candara" w:cs="Arial"/>
          <w:lang w:val="fr-FR"/>
        </w:rPr>
        <w:t>(</w:t>
      </w:r>
      <w:r w:rsidRPr="006D2505">
        <w:rPr>
          <w:rFonts w:ascii="Candara" w:hAnsi="Candara" w:cs="Arial"/>
          <w:b/>
          <w:lang w:val="fr-FR"/>
        </w:rPr>
        <w:t>842</w:t>
      </w:r>
      <w:r w:rsidRPr="006D2505">
        <w:rPr>
          <w:rFonts w:ascii="Candara" w:hAnsi="Candara" w:cs="Arial"/>
          <w:lang w:val="fr-FR"/>
        </w:rPr>
        <w:t xml:space="preserve"> </w:t>
      </w:r>
      <w:r w:rsidRPr="00F544E6">
        <w:rPr>
          <w:rFonts w:ascii="Candara" w:hAnsi="Candara" w:cs="Arial"/>
          <w:lang w:val="fr-FR"/>
        </w:rPr>
        <w:t xml:space="preserve">ménages à N’Djamena </w:t>
      </w:r>
      <w:r w:rsidRPr="00F544E6">
        <w:rPr>
          <w:rFonts w:ascii="Candara" w:hAnsi="Candara" w:cs="Arial"/>
          <w:b/>
          <w:lang w:val="fr-FR"/>
        </w:rPr>
        <w:t xml:space="preserve">et </w:t>
      </w:r>
      <w:r w:rsidRPr="006D2505">
        <w:rPr>
          <w:rFonts w:ascii="Candara" w:hAnsi="Candara" w:cs="Arial"/>
          <w:b/>
          <w:lang w:val="fr-FR"/>
        </w:rPr>
        <w:t>2783</w:t>
      </w:r>
      <w:r w:rsidRPr="00F544E6">
        <w:rPr>
          <w:rFonts w:ascii="Candara" w:hAnsi="Candara" w:cs="Arial"/>
          <w:lang w:val="fr-FR"/>
        </w:rPr>
        <w:t xml:space="preserve"> ménages en province). Le tableau suivant présente la répartition de l’échantillon par province :</w:t>
      </w:r>
    </w:p>
    <w:p w14:paraId="27B90540" w14:textId="77777777" w:rsidR="00476D60" w:rsidRDefault="00476D60" w:rsidP="00476D60">
      <w:pPr>
        <w:spacing w:after="120"/>
        <w:jc w:val="both"/>
        <w:rPr>
          <w:rFonts w:ascii="Candara" w:hAnsi="Candara" w:cs="Arial"/>
          <w:b/>
          <w:sz w:val="24"/>
          <w:szCs w:val="24"/>
          <w:lang w:val="fr-FR"/>
        </w:rPr>
      </w:pPr>
      <w:r w:rsidRPr="008D2328">
        <w:rPr>
          <w:rFonts w:ascii="Candara" w:hAnsi="Candara" w:cs="Arial"/>
          <w:b/>
          <w:sz w:val="24"/>
          <w:szCs w:val="24"/>
          <w:lang w:val="fr-FR"/>
        </w:rPr>
        <w:t>Tableau 1 : Echantillonnage de concessions/ménages</w:t>
      </w:r>
    </w:p>
    <w:tbl>
      <w:tblPr>
        <w:tblW w:w="10074" w:type="dxa"/>
        <w:tblLook w:val="04A0" w:firstRow="1" w:lastRow="0" w:firstColumn="1" w:lastColumn="0" w:noHBand="0" w:noVBand="1"/>
      </w:tblPr>
      <w:tblGrid>
        <w:gridCol w:w="1838"/>
        <w:gridCol w:w="1985"/>
        <w:gridCol w:w="1559"/>
        <w:gridCol w:w="2116"/>
        <w:gridCol w:w="1549"/>
        <w:gridCol w:w="1148"/>
      </w:tblGrid>
      <w:tr w:rsidR="00476D60" w:rsidRPr="006D2505" w14:paraId="0E747B57" w14:textId="77777777" w:rsidTr="00F83B44">
        <w:trPr>
          <w:trHeight w:val="792"/>
        </w:trPr>
        <w:tc>
          <w:tcPr>
            <w:tcW w:w="1838"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00B27DE" w14:textId="77777777" w:rsidR="00476D60" w:rsidRPr="006D2505" w:rsidRDefault="00476D60" w:rsidP="00F83B44">
            <w:pPr>
              <w:jc w:val="center"/>
              <w:rPr>
                <w:rFonts w:ascii="Arial" w:hAnsi="Arial" w:cs="Arial"/>
                <w:b/>
                <w:bCs/>
                <w:lang w:val="en-GB" w:eastAsia="en-GB"/>
              </w:rPr>
            </w:pPr>
            <w:proofErr w:type="spellStart"/>
            <w:r w:rsidRPr="006D2505">
              <w:rPr>
                <w:rFonts w:ascii="Arial" w:hAnsi="Arial" w:cs="Arial"/>
                <w:b/>
                <w:bCs/>
                <w:lang w:val="en-GB" w:eastAsia="en-GB"/>
              </w:rPr>
              <w:t>Délégation</w:t>
            </w:r>
            <w:proofErr w:type="spellEnd"/>
            <w:r w:rsidRPr="006D2505">
              <w:rPr>
                <w:rFonts w:ascii="Arial" w:hAnsi="Arial" w:cs="Arial"/>
                <w:b/>
                <w:bCs/>
                <w:lang w:val="en-GB" w:eastAsia="en-GB"/>
              </w:rPr>
              <w:t xml:space="preserve"> Sanitaire </w:t>
            </w:r>
            <w:proofErr w:type="spellStart"/>
            <w:r w:rsidRPr="006D2505">
              <w:rPr>
                <w:rFonts w:ascii="Arial" w:hAnsi="Arial" w:cs="Arial"/>
                <w:b/>
                <w:bCs/>
                <w:lang w:val="en-GB" w:eastAsia="en-GB"/>
              </w:rPr>
              <w:t>Provinciale</w:t>
            </w:r>
            <w:proofErr w:type="spellEnd"/>
          </w:p>
        </w:tc>
        <w:tc>
          <w:tcPr>
            <w:tcW w:w="1985" w:type="dxa"/>
            <w:tcBorders>
              <w:top w:val="single" w:sz="4" w:space="0" w:color="auto"/>
              <w:left w:val="nil"/>
              <w:bottom w:val="single" w:sz="4" w:space="0" w:color="auto"/>
              <w:right w:val="single" w:sz="4" w:space="0" w:color="auto"/>
            </w:tcBorders>
            <w:shd w:val="clear" w:color="000000" w:fill="FFE699"/>
            <w:vAlign w:val="center"/>
            <w:hideMark/>
          </w:tcPr>
          <w:p w14:paraId="47052B4B" w14:textId="77777777" w:rsidR="00476D60" w:rsidRPr="006D2505" w:rsidRDefault="00476D60" w:rsidP="00F83B44">
            <w:pPr>
              <w:jc w:val="center"/>
              <w:rPr>
                <w:rFonts w:ascii="Arial" w:hAnsi="Arial" w:cs="Arial"/>
                <w:b/>
                <w:bCs/>
                <w:lang w:val="en-GB" w:eastAsia="en-GB"/>
              </w:rPr>
            </w:pPr>
            <w:r w:rsidRPr="006D2505">
              <w:rPr>
                <w:rFonts w:ascii="Arial" w:hAnsi="Arial" w:cs="Arial"/>
                <w:b/>
                <w:bCs/>
                <w:lang w:val="en-GB" w:eastAsia="en-GB"/>
              </w:rPr>
              <w:t xml:space="preserve">District de </w:t>
            </w:r>
            <w:proofErr w:type="spellStart"/>
            <w:r w:rsidRPr="006D2505">
              <w:rPr>
                <w:rFonts w:ascii="Arial" w:hAnsi="Arial" w:cs="Arial"/>
                <w:b/>
                <w:bCs/>
                <w:lang w:val="en-GB" w:eastAsia="en-GB"/>
              </w:rPr>
              <w:t>santé</w:t>
            </w:r>
            <w:proofErr w:type="spellEnd"/>
            <w:r w:rsidRPr="006D2505">
              <w:rPr>
                <w:rFonts w:ascii="Arial" w:hAnsi="Arial" w:cs="Arial"/>
                <w:b/>
                <w:bCs/>
                <w:lang w:val="en-GB" w:eastAsia="en-GB"/>
              </w:rPr>
              <w:t xml:space="preserve"> (ZI)</w:t>
            </w:r>
          </w:p>
        </w:tc>
        <w:tc>
          <w:tcPr>
            <w:tcW w:w="1559" w:type="dxa"/>
            <w:tcBorders>
              <w:top w:val="single" w:sz="4" w:space="0" w:color="auto"/>
              <w:left w:val="nil"/>
              <w:bottom w:val="single" w:sz="4" w:space="0" w:color="auto"/>
              <w:right w:val="single" w:sz="4" w:space="0" w:color="auto"/>
            </w:tcBorders>
            <w:shd w:val="clear" w:color="000000" w:fill="FFE699"/>
            <w:vAlign w:val="center"/>
            <w:hideMark/>
          </w:tcPr>
          <w:p w14:paraId="2C5AA634" w14:textId="77777777" w:rsidR="00476D60" w:rsidRPr="006D2505" w:rsidRDefault="00476D60" w:rsidP="00F83B44">
            <w:pPr>
              <w:jc w:val="center"/>
              <w:rPr>
                <w:rFonts w:ascii="Arial" w:hAnsi="Arial" w:cs="Arial"/>
                <w:b/>
                <w:bCs/>
                <w:lang w:val="fr-FR" w:eastAsia="en-GB"/>
              </w:rPr>
            </w:pPr>
            <w:r w:rsidRPr="006D2505">
              <w:rPr>
                <w:rFonts w:ascii="Arial" w:hAnsi="Arial" w:cs="Arial"/>
                <w:b/>
                <w:bCs/>
                <w:lang w:val="fr-FR" w:eastAsia="en-GB"/>
              </w:rPr>
              <w:t>Nombre de centres de santé</w:t>
            </w:r>
          </w:p>
        </w:tc>
        <w:tc>
          <w:tcPr>
            <w:tcW w:w="2116" w:type="dxa"/>
            <w:tcBorders>
              <w:top w:val="single" w:sz="4" w:space="0" w:color="auto"/>
              <w:left w:val="nil"/>
              <w:bottom w:val="single" w:sz="4" w:space="0" w:color="auto"/>
              <w:right w:val="single" w:sz="4" w:space="0" w:color="auto"/>
            </w:tcBorders>
            <w:shd w:val="clear" w:color="000000" w:fill="FFE699"/>
            <w:vAlign w:val="center"/>
            <w:hideMark/>
          </w:tcPr>
          <w:p w14:paraId="2CA6E4B8" w14:textId="77777777" w:rsidR="00476D60" w:rsidRPr="006D2505" w:rsidRDefault="00476D60" w:rsidP="00F83B44">
            <w:pPr>
              <w:jc w:val="center"/>
              <w:rPr>
                <w:rFonts w:ascii="Arial" w:hAnsi="Arial" w:cs="Arial"/>
                <w:b/>
                <w:bCs/>
                <w:lang w:val="fr-FR" w:eastAsia="en-GB"/>
              </w:rPr>
            </w:pPr>
            <w:r w:rsidRPr="006D2505">
              <w:rPr>
                <w:rFonts w:ascii="Arial" w:hAnsi="Arial" w:cs="Arial"/>
                <w:b/>
                <w:bCs/>
                <w:lang w:val="fr-FR" w:eastAsia="en-GB"/>
              </w:rPr>
              <w:t>Fraction d'échantillonnage des ZS (1/3 des CS)</w:t>
            </w:r>
          </w:p>
        </w:tc>
        <w:tc>
          <w:tcPr>
            <w:tcW w:w="1428" w:type="dxa"/>
            <w:tcBorders>
              <w:top w:val="single" w:sz="4" w:space="0" w:color="auto"/>
              <w:left w:val="nil"/>
              <w:bottom w:val="single" w:sz="4" w:space="0" w:color="auto"/>
              <w:right w:val="single" w:sz="4" w:space="0" w:color="auto"/>
            </w:tcBorders>
            <w:shd w:val="clear" w:color="000000" w:fill="FFE699"/>
            <w:vAlign w:val="center"/>
            <w:hideMark/>
          </w:tcPr>
          <w:p w14:paraId="19A139CB" w14:textId="77777777" w:rsidR="00476D60" w:rsidRPr="006D2505" w:rsidRDefault="00476D60" w:rsidP="00F83B44">
            <w:pPr>
              <w:jc w:val="center"/>
              <w:rPr>
                <w:rFonts w:ascii="Arial" w:hAnsi="Arial" w:cs="Arial"/>
                <w:b/>
                <w:bCs/>
                <w:lang w:val="en-GB" w:eastAsia="en-GB"/>
              </w:rPr>
            </w:pPr>
            <w:proofErr w:type="spellStart"/>
            <w:r w:rsidRPr="006D2505">
              <w:rPr>
                <w:rFonts w:ascii="Arial" w:hAnsi="Arial" w:cs="Arial"/>
                <w:b/>
                <w:bCs/>
                <w:lang w:val="en-GB" w:eastAsia="en-GB"/>
              </w:rPr>
              <w:t>Echantillon</w:t>
            </w:r>
            <w:proofErr w:type="spellEnd"/>
            <w:r w:rsidRPr="006D2505">
              <w:rPr>
                <w:rFonts w:ascii="Arial" w:hAnsi="Arial" w:cs="Arial"/>
                <w:b/>
                <w:bCs/>
                <w:lang w:val="en-GB" w:eastAsia="en-GB"/>
              </w:rPr>
              <w:t xml:space="preserve"> concessions</w:t>
            </w:r>
          </w:p>
        </w:tc>
        <w:tc>
          <w:tcPr>
            <w:tcW w:w="1148" w:type="dxa"/>
            <w:tcBorders>
              <w:top w:val="single" w:sz="4" w:space="0" w:color="auto"/>
              <w:left w:val="nil"/>
              <w:bottom w:val="single" w:sz="4" w:space="0" w:color="auto"/>
              <w:right w:val="single" w:sz="4" w:space="0" w:color="auto"/>
            </w:tcBorders>
            <w:shd w:val="clear" w:color="000000" w:fill="FFE699"/>
            <w:vAlign w:val="center"/>
            <w:hideMark/>
          </w:tcPr>
          <w:p w14:paraId="5932D725" w14:textId="77777777" w:rsidR="00476D60" w:rsidRPr="006D2505" w:rsidRDefault="00476D60" w:rsidP="00F83B44">
            <w:pPr>
              <w:jc w:val="center"/>
              <w:rPr>
                <w:rFonts w:ascii="Arial" w:hAnsi="Arial" w:cs="Arial"/>
                <w:b/>
                <w:bCs/>
                <w:lang w:val="en-GB" w:eastAsia="en-GB"/>
              </w:rPr>
            </w:pPr>
            <w:proofErr w:type="spellStart"/>
            <w:r w:rsidRPr="006D2505">
              <w:rPr>
                <w:rFonts w:ascii="Arial" w:hAnsi="Arial" w:cs="Arial"/>
                <w:b/>
                <w:bCs/>
                <w:lang w:val="en-GB" w:eastAsia="en-GB"/>
              </w:rPr>
              <w:t>Nbre</w:t>
            </w:r>
            <w:proofErr w:type="spellEnd"/>
            <w:r w:rsidRPr="006D2505">
              <w:rPr>
                <w:rFonts w:ascii="Arial" w:hAnsi="Arial" w:cs="Arial"/>
                <w:b/>
                <w:bCs/>
                <w:lang w:val="en-GB" w:eastAsia="en-GB"/>
              </w:rPr>
              <w:t xml:space="preserve"> de village</w:t>
            </w:r>
          </w:p>
        </w:tc>
      </w:tr>
      <w:tr w:rsidR="00476D60" w:rsidRPr="006D2505" w14:paraId="4F0A5663" w14:textId="77777777" w:rsidTr="00F83B44">
        <w:trPr>
          <w:trHeight w:val="35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5AC645E"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 xml:space="preserve">Chari </w:t>
            </w:r>
            <w:proofErr w:type="spellStart"/>
            <w:r w:rsidRPr="006D2505">
              <w:rPr>
                <w:rFonts w:ascii="Calibri" w:hAnsi="Calibri" w:cs="Calibri"/>
                <w:color w:val="000000"/>
                <w:lang w:val="en-GB" w:eastAsia="en-GB"/>
              </w:rPr>
              <w:t>Baguirmi</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6193209F"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Ba-</w:t>
            </w:r>
            <w:proofErr w:type="spellStart"/>
            <w:r w:rsidRPr="006D2505">
              <w:rPr>
                <w:rFonts w:ascii="Calibri" w:hAnsi="Calibri" w:cs="Calibri"/>
                <w:color w:val="000000"/>
                <w:lang w:val="en-GB" w:eastAsia="en-GB"/>
              </w:rPr>
              <w:t>Illi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4574F9F" w14:textId="77777777" w:rsidR="00476D60" w:rsidRPr="006D2505" w:rsidRDefault="00476D60" w:rsidP="00F83B44">
            <w:pPr>
              <w:jc w:val="center"/>
              <w:rPr>
                <w:rFonts w:ascii="Calibri" w:hAnsi="Calibri" w:cs="Calibri"/>
                <w:color w:val="0070C0"/>
                <w:lang w:val="en-GB" w:eastAsia="en-GB"/>
              </w:rPr>
            </w:pPr>
            <w:r w:rsidRPr="006D2505">
              <w:rPr>
                <w:rFonts w:ascii="Calibri" w:hAnsi="Calibri" w:cs="Calibri"/>
                <w:color w:val="0070C0"/>
                <w:lang w:val="en-GB" w:eastAsia="en-GB"/>
              </w:rPr>
              <w:t>11</w:t>
            </w:r>
          </w:p>
        </w:tc>
        <w:tc>
          <w:tcPr>
            <w:tcW w:w="2116" w:type="dxa"/>
            <w:tcBorders>
              <w:top w:val="nil"/>
              <w:left w:val="nil"/>
              <w:bottom w:val="single" w:sz="4" w:space="0" w:color="auto"/>
              <w:right w:val="single" w:sz="4" w:space="0" w:color="auto"/>
            </w:tcBorders>
            <w:shd w:val="clear" w:color="auto" w:fill="auto"/>
            <w:noWrap/>
            <w:vAlign w:val="center"/>
            <w:hideMark/>
          </w:tcPr>
          <w:p w14:paraId="04967B21"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4</w:t>
            </w:r>
          </w:p>
        </w:tc>
        <w:tc>
          <w:tcPr>
            <w:tcW w:w="1428" w:type="dxa"/>
            <w:tcBorders>
              <w:top w:val="nil"/>
              <w:left w:val="nil"/>
              <w:bottom w:val="single" w:sz="4" w:space="0" w:color="auto"/>
              <w:right w:val="single" w:sz="4" w:space="0" w:color="auto"/>
            </w:tcBorders>
            <w:shd w:val="clear" w:color="auto" w:fill="auto"/>
            <w:noWrap/>
            <w:vAlign w:val="center"/>
            <w:hideMark/>
          </w:tcPr>
          <w:p w14:paraId="1BFE57D7"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92</w:t>
            </w:r>
          </w:p>
        </w:tc>
        <w:tc>
          <w:tcPr>
            <w:tcW w:w="1148" w:type="dxa"/>
            <w:tcBorders>
              <w:top w:val="nil"/>
              <w:left w:val="nil"/>
              <w:bottom w:val="single" w:sz="4" w:space="0" w:color="auto"/>
              <w:right w:val="single" w:sz="4" w:space="0" w:color="auto"/>
            </w:tcBorders>
            <w:shd w:val="clear" w:color="auto" w:fill="auto"/>
            <w:noWrap/>
            <w:vAlign w:val="center"/>
            <w:hideMark/>
          </w:tcPr>
          <w:p w14:paraId="077C8516"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37</w:t>
            </w:r>
          </w:p>
        </w:tc>
      </w:tr>
      <w:tr w:rsidR="00476D60" w:rsidRPr="006D2505" w14:paraId="25C07C61" w14:textId="77777777" w:rsidTr="00F83B44">
        <w:trPr>
          <w:trHeight w:val="40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AA0F30C"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 xml:space="preserve">Chari </w:t>
            </w:r>
            <w:proofErr w:type="spellStart"/>
            <w:r w:rsidRPr="006D2505">
              <w:rPr>
                <w:rFonts w:ascii="Calibri" w:hAnsi="Calibri" w:cs="Calibri"/>
                <w:color w:val="000000"/>
                <w:lang w:val="en-GB" w:eastAsia="en-GB"/>
              </w:rPr>
              <w:t>Baguirmi</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6B990074"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Bousso</w:t>
            </w:r>
          </w:p>
        </w:tc>
        <w:tc>
          <w:tcPr>
            <w:tcW w:w="1559" w:type="dxa"/>
            <w:tcBorders>
              <w:top w:val="nil"/>
              <w:left w:val="nil"/>
              <w:bottom w:val="single" w:sz="4" w:space="0" w:color="auto"/>
              <w:right w:val="single" w:sz="4" w:space="0" w:color="auto"/>
            </w:tcBorders>
            <w:shd w:val="clear" w:color="auto" w:fill="auto"/>
            <w:noWrap/>
            <w:vAlign w:val="center"/>
            <w:hideMark/>
          </w:tcPr>
          <w:p w14:paraId="67B34DF6"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11</w:t>
            </w:r>
          </w:p>
        </w:tc>
        <w:tc>
          <w:tcPr>
            <w:tcW w:w="2116" w:type="dxa"/>
            <w:tcBorders>
              <w:top w:val="nil"/>
              <w:left w:val="nil"/>
              <w:bottom w:val="single" w:sz="4" w:space="0" w:color="auto"/>
              <w:right w:val="single" w:sz="4" w:space="0" w:color="auto"/>
            </w:tcBorders>
            <w:shd w:val="clear" w:color="auto" w:fill="auto"/>
            <w:noWrap/>
            <w:vAlign w:val="center"/>
            <w:hideMark/>
          </w:tcPr>
          <w:p w14:paraId="64C2BEE4"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4</w:t>
            </w:r>
          </w:p>
        </w:tc>
        <w:tc>
          <w:tcPr>
            <w:tcW w:w="1428" w:type="dxa"/>
            <w:tcBorders>
              <w:top w:val="nil"/>
              <w:left w:val="nil"/>
              <w:bottom w:val="single" w:sz="4" w:space="0" w:color="auto"/>
              <w:right w:val="single" w:sz="4" w:space="0" w:color="auto"/>
            </w:tcBorders>
            <w:shd w:val="clear" w:color="auto" w:fill="auto"/>
            <w:noWrap/>
            <w:vAlign w:val="center"/>
            <w:hideMark/>
          </w:tcPr>
          <w:p w14:paraId="1E221995"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92</w:t>
            </w:r>
          </w:p>
        </w:tc>
        <w:tc>
          <w:tcPr>
            <w:tcW w:w="1148" w:type="dxa"/>
            <w:tcBorders>
              <w:top w:val="nil"/>
              <w:left w:val="nil"/>
              <w:bottom w:val="single" w:sz="4" w:space="0" w:color="auto"/>
              <w:right w:val="single" w:sz="4" w:space="0" w:color="auto"/>
            </w:tcBorders>
            <w:shd w:val="clear" w:color="auto" w:fill="auto"/>
            <w:noWrap/>
            <w:vAlign w:val="center"/>
            <w:hideMark/>
          </w:tcPr>
          <w:p w14:paraId="1D3C1A0F"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37</w:t>
            </w:r>
          </w:p>
        </w:tc>
      </w:tr>
      <w:tr w:rsidR="00476D60" w:rsidRPr="006D2505" w14:paraId="038804C8" w14:textId="77777777" w:rsidTr="00F83B44">
        <w:trPr>
          <w:trHeight w:val="46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470614A"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 xml:space="preserve">Chari </w:t>
            </w:r>
            <w:proofErr w:type="spellStart"/>
            <w:r w:rsidRPr="006D2505">
              <w:rPr>
                <w:rFonts w:ascii="Calibri" w:hAnsi="Calibri" w:cs="Calibri"/>
                <w:color w:val="000000"/>
                <w:lang w:val="en-GB" w:eastAsia="en-GB"/>
              </w:rPr>
              <w:t>Baguirmi</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46513BBC"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Dourbali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56D6BB2" w14:textId="77777777" w:rsidR="00476D60" w:rsidRPr="006D2505" w:rsidRDefault="00476D60" w:rsidP="00F83B44">
            <w:pPr>
              <w:jc w:val="center"/>
              <w:rPr>
                <w:rFonts w:ascii="Calibri" w:hAnsi="Calibri" w:cs="Calibri"/>
                <w:lang w:val="en-GB" w:eastAsia="en-GB"/>
              </w:rPr>
            </w:pPr>
            <w:r w:rsidRPr="006D2505">
              <w:rPr>
                <w:rFonts w:ascii="Calibri" w:hAnsi="Calibri" w:cs="Calibri"/>
                <w:lang w:val="en-GB" w:eastAsia="en-GB"/>
              </w:rPr>
              <w:t>17</w:t>
            </w:r>
          </w:p>
        </w:tc>
        <w:tc>
          <w:tcPr>
            <w:tcW w:w="2116" w:type="dxa"/>
            <w:tcBorders>
              <w:top w:val="nil"/>
              <w:left w:val="nil"/>
              <w:bottom w:val="single" w:sz="4" w:space="0" w:color="auto"/>
              <w:right w:val="single" w:sz="4" w:space="0" w:color="auto"/>
            </w:tcBorders>
            <w:shd w:val="clear" w:color="auto" w:fill="auto"/>
            <w:noWrap/>
            <w:vAlign w:val="center"/>
            <w:hideMark/>
          </w:tcPr>
          <w:p w14:paraId="41C961AF"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6</w:t>
            </w:r>
          </w:p>
        </w:tc>
        <w:tc>
          <w:tcPr>
            <w:tcW w:w="1428" w:type="dxa"/>
            <w:tcBorders>
              <w:top w:val="nil"/>
              <w:left w:val="nil"/>
              <w:bottom w:val="single" w:sz="4" w:space="0" w:color="auto"/>
              <w:right w:val="single" w:sz="4" w:space="0" w:color="auto"/>
            </w:tcBorders>
            <w:shd w:val="clear" w:color="auto" w:fill="auto"/>
            <w:noWrap/>
            <w:vAlign w:val="center"/>
            <w:hideMark/>
          </w:tcPr>
          <w:p w14:paraId="65B53E21"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142</w:t>
            </w:r>
          </w:p>
        </w:tc>
        <w:tc>
          <w:tcPr>
            <w:tcW w:w="1148" w:type="dxa"/>
            <w:tcBorders>
              <w:top w:val="nil"/>
              <w:left w:val="nil"/>
              <w:bottom w:val="single" w:sz="4" w:space="0" w:color="auto"/>
              <w:right w:val="single" w:sz="4" w:space="0" w:color="auto"/>
            </w:tcBorders>
            <w:shd w:val="clear" w:color="auto" w:fill="auto"/>
            <w:noWrap/>
            <w:vAlign w:val="center"/>
            <w:hideMark/>
          </w:tcPr>
          <w:p w14:paraId="751D63BB"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57</w:t>
            </w:r>
          </w:p>
        </w:tc>
      </w:tr>
      <w:tr w:rsidR="00476D60" w:rsidRPr="006D2505" w14:paraId="2E55B4CB" w14:textId="77777777" w:rsidTr="00F83B44">
        <w:trPr>
          <w:trHeight w:val="418"/>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42C2C46"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 xml:space="preserve">Chari </w:t>
            </w:r>
            <w:proofErr w:type="spellStart"/>
            <w:r w:rsidRPr="006D2505">
              <w:rPr>
                <w:rFonts w:ascii="Calibri" w:hAnsi="Calibri" w:cs="Calibri"/>
                <w:color w:val="000000"/>
                <w:lang w:val="en-GB" w:eastAsia="en-GB"/>
              </w:rPr>
              <w:t>Baguirmi</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7DAB3512"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Mandelia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C1FE3DC" w14:textId="77777777" w:rsidR="00476D60" w:rsidRPr="006D2505" w:rsidRDefault="00476D60" w:rsidP="00F83B44">
            <w:pPr>
              <w:jc w:val="center"/>
              <w:rPr>
                <w:rFonts w:ascii="Calibri" w:hAnsi="Calibri" w:cs="Calibri"/>
                <w:lang w:val="en-GB" w:eastAsia="en-GB"/>
              </w:rPr>
            </w:pPr>
            <w:r w:rsidRPr="006D2505">
              <w:rPr>
                <w:rFonts w:ascii="Calibri" w:hAnsi="Calibri" w:cs="Calibri"/>
                <w:lang w:val="en-GB" w:eastAsia="en-GB"/>
              </w:rPr>
              <w:t>21</w:t>
            </w:r>
          </w:p>
        </w:tc>
        <w:tc>
          <w:tcPr>
            <w:tcW w:w="2116" w:type="dxa"/>
            <w:tcBorders>
              <w:top w:val="nil"/>
              <w:left w:val="nil"/>
              <w:bottom w:val="single" w:sz="4" w:space="0" w:color="auto"/>
              <w:right w:val="single" w:sz="4" w:space="0" w:color="auto"/>
            </w:tcBorders>
            <w:shd w:val="clear" w:color="auto" w:fill="auto"/>
            <w:noWrap/>
            <w:vAlign w:val="center"/>
            <w:hideMark/>
          </w:tcPr>
          <w:p w14:paraId="5E752D30"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7</w:t>
            </w:r>
          </w:p>
        </w:tc>
        <w:tc>
          <w:tcPr>
            <w:tcW w:w="1428" w:type="dxa"/>
            <w:tcBorders>
              <w:top w:val="nil"/>
              <w:left w:val="nil"/>
              <w:bottom w:val="single" w:sz="4" w:space="0" w:color="auto"/>
              <w:right w:val="single" w:sz="4" w:space="0" w:color="auto"/>
            </w:tcBorders>
            <w:shd w:val="clear" w:color="auto" w:fill="auto"/>
            <w:noWrap/>
            <w:vAlign w:val="center"/>
            <w:hideMark/>
          </w:tcPr>
          <w:p w14:paraId="5053621A"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175</w:t>
            </w:r>
          </w:p>
        </w:tc>
        <w:tc>
          <w:tcPr>
            <w:tcW w:w="1148" w:type="dxa"/>
            <w:tcBorders>
              <w:top w:val="nil"/>
              <w:left w:val="nil"/>
              <w:bottom w:val="single" w:sz="4" w:space="0" w:color="auto"/>
              <w:right w:val="single" w:sz="4" w:space="0" w:color="auto"/>
            </w:tcBorders>
            <w:shd w:val="clear" w:color="auto" w:fill="auto"/>
            <w:noWrap/>
            <w:vAlign w:val="center"/>
            <w:hideMark/>
          </w:tcPr>
          <w:p w14:paraId="29E76D38"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70</w:t>
            </w:r>
          </w:p>
        </w:tc>
      </w:tr>
      <w:tr w:rsidR="00476D60" w:rsidRPr="006D2505" w14:paraId="2DC7550F" w14:textId="77777777" w:rsidTr="00F83B44">
        <w:trPr>
          <w:trHeight w:val="384"/>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905931C"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 xml:space="preserve">Chari </w:t>
            </w:r>
            <w:proofErr w:type="spellStart"/>
            <w:r w:rsidRPr="006D2505">
              <w:rPr>
                <w:rFonts w:ascii="Calibri" w:hAnsi="Calibri" w:cs="Calibri"/>
                <w:color w:val="000000"/>
                <w:lang w:val="en-GB" w:eastAsia="en-GB"/>
              </w:rPr>
              <w:t>Baguirmi</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55E957F6"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Massenya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3E05A72" w14:textId="77777777" w:rsidR="00476D60" w:rsidRPr="006D2505" w:rsidRDefault="00476D60" w:rsidP="00F83B44">
            <w:pPr>
              <w:jc w:val="center"/>
              <w:rPr>
                <w:rFonts w:ascii="Calibri" w:hAnsi="Calibri" w:cs="Calibri"/>
                <w:lang w:val="en-GB" w:eastAsia="en-GB"/>
              </w:rPr>
            </w:pPr>
            <w:r w:rsidRPr="006D2505">
              <w:rPr>
                <w:rFonts w:ascii="Calibri" w:hAnsi="Calibri" w:cs="Calibri"/>
                <w:lang w:val="en-GB" w:eastAsia="en-GB"/>
              </w:rPr>
              <w:t>17</w:t>
            </w:r>
          </w:p>
        </w:tc>
        <w:tc>
          <w:tcPr>
            <w:tcW w:w="2116" w:type="dxa"/>
            <w:tcBorders>
              <w:top w:val="nil"/>
              <w:left w:val="nil"/>
              <w:bottom w:val="single" w:sz="4" w:space="0" w:color="auto"/>
              <w:right w:val="single" w:sz="4" w:space="0" w:color="auto"/>
            </w:tcBorders>
            <w:shd w:val="clear" w:color="auto" w:fill="auto"/>
            <w:noWrap/>
            <w:vAlign w:val="center"/>
            <w:hideMark/>
          </w:tcPr>
          <w:p w14:paraId="00FABEB4"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6</w:t>
            </w:r>
          </w:p>
        </w:tc>
        <w:tc>
          <w:tcPr>
            <w:tcW w:w="1428" w:type="dxa"/>
            <w:tcBorders>
              <w:top w:val="nil"/>
              <w:left w:val="nil"/>
              <w:bottom w:val="single" w:sz="4" w:space="0" w:color="auto"/>
              <w:right w:val="single" w:sz="4" w:space="0" w:color="auto"/>
            </w:tcBorders>
            <w:shd w:val="clear" w:color="auto" w:fill="auto"/>
            <w:noWrap/>
            <w:vAlign w:val="center"/>
            <w:hideMark/>
          </w:tcPr>
          <w:p w14:paraId="2E72B976"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142</w:t>
            </w:r>
          </w:p>
        </w:tc>
        <w:tc>
          <w:tcPr>
            <w:tcW w:w="1148" w:type="dxa"/>
            <w:tcBorders>
              <w:top w:val="nil"/>
              <w:left w:val="nil"/>
              <w:bottom w:val="single" w:sz="4" w:space="0" w:color="auto"/>
              <w:right w:val="single" w:sz="4" w:space="0" w:color="auto"/>
            </w:tcBorders>
            <w:shd w:val="clear" w:color="auto" w:fill="auto"/>
            <w:noWrap/>
            <w:vAlign w:val="center"/>
            <w:hideMark/>
          </w:tcPr>
          <w:p w14:paraId="0241B4F2"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57</w:t>
            </w:r>
          </w:p>
        </w:tc>
      </w:tr>
      <w:tr w:rsidR="00476D60" w:rsidRPr="006D2505" w14:paraId="1F23C547" w14:textId="77777777" w:rsidTr="00F83B44">
        <w:trPr>
          <w:trHeight w:val="39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316F7EE"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 xml:space="preserve">Chari </w:t>
            </w:r>
            <w:proofErr w:type="spellStart"/>
            <w:r w:rsidRPr="006D2505">
              <w:rPr>
                <w:rFonts w:ascii="Calibri" w:hAnsi="Calibri" w:cs="Calibri"/>
                <w:color w:val="000000"/>
                <w:lang w:val="en-GB" w:eastAsia="en-GB"/>
              </w:rPr>
              <w:t>Baguirmi</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333245A2"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Kouno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AA623AE"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4</w:t>
            </w:r>
          </w:p>
        </w:tc>
        <w:tc>
          <w:tcPr>
            <w:tcW w:w="2116" w:type="dxa"/>
            <w:tcBorders>
              <w:top w:val="nil"/>
              <w:left w:val="nil"/>
              <w:bottom w:val="single" w:sz="4" w:space="0" w:color="auto"/>
              <w:right w:val="single" w:sz="4" w:space="0" w:color="auto"/>
            </w:tcBorders>
            <w:shd w:val="clear" w:color="auto" w:fill="auto"/>
            <w:noWrap/>
            <w:vAlign w:val="center"/>
            <w:hideMark/>
          </w:tcPr>
          <w:p w14:paraId="42B39D28"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w:t>
            </w:r>
          </w:p>
        </w:tc>
        <w:tc>
          <w:tcPr>
            <w:tcW w:w="1428" w:type="dxa"/>
            <w:tcBorders>
              <w:top w:val="nil"/>
              <w:left w:val="nil"/>
              <w:bottom w:val="single" w:sz="4" w:space="0" w:color="auto"/>
              <w:right w:val="single" w:sz="4" w:space="0" w:color="auto"/>
            </w:tcBorders>
            <w:shd w:val="clear" w:color="auto" w:fill="auto"/>
            <w:noWrap/>
            <w:vAlign w:val="center"/>
            <w:hideMark/>
          </w:tcPr>
          <w:p w14:paraId="7FA0E44A"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33</w:t>
            </w:r>
          </w:p>
        </w:tc>
        <w:tc>
          <w:tcPr>
            <w:tcW w:w="1148" w:type="dxa"/>
            <w:tcBorders>
              <w:top w:val="nil"/>
              <w:left w:val="nil"/>
              <w:bottom w:val="single" w:sz="4" w:space="0" w:color="auto"/>
              <w:right w:val="single" w:sz="4" w:space="0" w:color="auto"/>
            </w:tcBorders>
            <w:shd w:val="clear" w:color="auto" w:fill="auto"/>
            <w:noWrap/>
            <w:vAlign w:val="center"/>
            <w:hideMark/>
          </w:tcPr>
          <w:p w14:paraId="5A62E623"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13</w:t>
            </w:r>
          </w:p>
        </w:tc>
      </w:tr>
      <w:tr w:rsidR="00476D60" w:rsidRPr="006D2505" w14:paraId="27D2F3B2" w14:textId="77777777" w:rsidTr="00F83B44">
        <w:trPr>
          <w:trHeight w:val="40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A53F23C"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Hadjer</w:t>
            </w:r>
            <w:proofErr w:type="spellEnd"/>
            <w:r w:rsidRPr="006D2505">
              <w:rPr>
                <w:rFonts w:ascii="Calibri" w:hAnsi="Calibri" w:cs="Calibri"/>
                <w:color w:val="000000"/>
                <w:lang w:val="en-GB" w:eastAsia="en-GB"/>
              </w:rPr>
              <w:t xml:space="preserve"> </w:t>
            </w:r>
            <w:proofErr w:type="spellStart"/>
            <w:r w:rsidRPr="006D2505">
              <w:rPr>
                <w:rFonts w:ascii="Calibri" w:hAnsi="Calibri" w:cs="Calibri"/>
                <w:color w:val="000000"/>
                <w:lang w:val="en-GB" w:eastAsia="en-GB"/>
              </w:rPr>
              <w:t>Lamis</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4180BF8A"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Bokoro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340DF83" w14:textId="77777777" w:rsidR="00476D60" w:rsidRPr="006D2505" w:rsidRDefault="00476D60" w:rsidP="00F83B44">
            <w:pPr>
              <w:jc w:val="center"/>
              <w:rPr>
                <w:rFonts w:ascii="Calibri" w:hAnsi="Calibri" w:cs="Calibri"/>
                <w:color w:val="0070C0"/>
                <w:lang w:val="en-GB" w:eastAsia="en-GB"/>
              </w:rPr>
            </w:pPr>
            <w:r w:rsidRPr="006D2505">
              <w:rPr>
                <w:rFonts w:ascii="Calibri" w:hAnsi="Calibri" w:cs="Calibri"/>
                <w:color w:val="0070C0"/>
                <w:lang w:val="en-GB" w:eastAsia="en-GB"/>
              </w:rPr>
              <w:t>26</w:t>
            </w:r>
          </w:p>
        </w:tc>
        <w:tc>
          <w:tcPr>
            <w:tcW w:w="2116" w:type="dxa"/>
            <w:tcBorders>
              <w:top w:val="nil"/>
              <w:left w:val="nil"/>
              <w:bottom w:val="single" w:sz="4" w:space="0" w:color="auto"/>
              <w:right w:val="single" w:sz="4" w:space="0" w:color="auto"/>
            </w:tcBorders>
            <w:shd w:val="clear" w:color="auto" w:fill="auto"/>
            <w:noWrap/>
            <w:vAlign w:val="center"/>
            <w:hideMark/>
          </w:tcPr>
          <w:p w14:paraId="6ACB57EA"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9</w:t>
            </w:r>
          </w:p>
        </w:tc>
        <w:tc>
          <w:tcPr>
            <w:tcW w:w="1428" w:type="dxa"/>
            <w:tcBorders>
              <w:top w:val="nil"/>
              <w:left w:val="nil"/>
              <w:bottom w:val="single" w:sz="4" w:space="0" w:color="auto"/>
              <w:right w:val="single" w:sz="4" w:space="0" w:color="auto"/>
            </w:tcBorders>
            <w:shd w:val="clear" w:color="auto" w:fill="auto"/>
            <w:noWrap/>
            <w:vAlign w:val="center"/>
            <w:hideMark/>
          </w:tcPr>
          <w:p w14:paraId="15F8961D"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217</w:t>
            </w:r>
          </w:p>
        </w:tc>
        <w:tc>
          <w:tcPr>
            <w:tcW w:w="1148" w:type="dxa"/>
            <w:tcBorders>
              <w:top w:val="nil"/>
              <w:left w:val="nil"/>
              <w:bottom w:val="single" w:sz="4" w:space="0" w:color="auto"/>
              <w:right w:val="single" w:sz="4" w:space="0" w:color="auto"/>
            </w:tcBorders>
            <w:shd w:val="clear" w:color="auto" w:fill="auto"/>
            <w:noWrap/>
            <w:vAlign w:val="center"/>
            <w:hideMark/>
          </w:tcPr>
          <w:p w14:paraId="7CA38284"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87</w:t>
            </w:r>
          </w:p>
        </w:tc>
      </w:tr>
      <w:tr w:rsidR="00476D60" w:rsidRPr="006D2505" w14:paraId="1741D4D7" w14:textId="77777777" w:rsidTr="00F83B44">
        <w:trPr>
          <w:trHeight w:val="414"/>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2DBC350"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Hadjer</w:t>
            </w:r>
            <w:proofErr w:type="spellEnd"/>
            <w:r w:rsidRPr="006D2505">
              <w:rPr>
                <w:rFonts w:ascii="Calibri" w:hAnsi="Calibri" w:cs="Calibri"/>
                <w:color w:val="000000"/>
                <w:lang w:val="en-GB" w:eastAsia="en-GB"/>
              </w:rPr>
              <w:t xml:space="preserve"> </w:t>
            </w:r>
            <w:proofErr w:type="spellStart"/>
            <w:r w:rsidRPr="006D2505">
              <w:rPr>
                <w:rFonts w:ascii="Calibri" w:hAnsi="Calibri" w:cs="Calibri"/>
                <w:color w:val="000000"/>
                <w:lang w:val="en-GB" w:eastAsia="en-GB"/>
              </w:rPr>
              <w:t>Lamis</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23E0B120"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Gama</w:t>
            </w:r>
          </w:p>
        </w:tc>
        <w:tc>
          <w:tcPr>
            <w:tcW w:w="1559" w:type="dxa"/>
            <w:tcBorders>
              <w:top w:val="nil"/>
              <w:left w:val="nil"/>
              <w:bottom w:val="single" w:sz="4" w:space="0" w:color="auto"/>
              <w:right w:val="single" w:sz="4" w:space="0" w:color="auto"/>
            </w:tcBorders>
            <w:shd w:val="clear" w:color="auto" w:fill="auto"/>
            <w:noWrap/>
            <w:vAlign w:val="center"/>
            <w:hideMark/>
          </w:tcPr>
          <w:p w14:paraId="7DF7E306"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9</w:t>
            </w:r>
          </w:p>
        </w:tc>
        <w:tc>
          <w:tcPr>
            <w:tcW w:w="2116" w:type="dxa"/>
            <w:tcBorders>
              <w:top w:val="nil"/>
              <w:left w:val="nil"/>
              <w:bottom w:val="single" w:sz="4" w:space="0" w:color="auto"/>
              <w:right w:val="single" w:sz="4" w:space="0" w:color="auto"/>
            </w:tcBorders>
            <w:shd w:val="clear" w:color="auto" w:fill="auto"/>
            <w:noWrap/>
            <w:vAlign w:val="center"/>
            <w:hideMark/>
          </w:tcPr>
          <w:p w14:paraId="29CD6B8C"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3</w:t>
            </w:r>
          </w:p>
        </w:tc>
        <w:tc>
          <w:tcPr>
            <w:tcW w:w="1428" w:type="dxa"/>
            <w:tcBorders>
              <w:top w:val="nil"/>
              <w:left w:val="nil"/>
              <w:bottom w:val="single" w:sz="4" w:space="0" w:color="auto"/>
              <w:right w:val="single" w:sz="4" w:space="0" w:color="auto"/>
            </w:tcBorders>
            <w:shd w:val="clear" w:color="auto" w:fill="auto"/>
            <w:noWrap/>
            <w:vAlign w:val="center"/>
            <w:hideMark/>
          </w:tcPr>
          <w:p w14:paraId="48A391D5"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75</w:t>
            </w:r>
          </w:p>
        </w:tc>
        <w:tc>
          <w:tcPr>
            <w:tcW w:w="1148" w:type="dxa"/>
            <w:tcBorders>
              <w:top w:val="nil"/>
              <w:left w:val="nil"/>
              <w:bottom w:val="single" w:sz="4" w:space="0" w:color="auto"/>
              <w:right w:val="single" w:sz="4" w:space="0" w:color="auto"/>
            </w:tcBorders>
            <w:shd w:val="clear" w:color="auto" w:fill="auto"/>
            <w:noWrap/>
            <w:vAlign w:val="center"/>
            <w:hideMark/>
          </w:tcPr>
          <w:p w14:paraId="461E6628"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30</w:t>
            </w:r>
          </w:p>
        </w:tc>
      </w:tr>
      <w:tr w:rsidR="00476D60" w:rsidRPr="006D2505" w14:paraId="629B5431" w14:textId="77777777" w:rsidTr="00F83B44">
        <w:trPr>
          <w:trHeight w:val="417"/>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38EFA72"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Hadjer</w:t>
            </w:r>
            <w:proofErr w:type="spellEnd"/>
            <w:r w:rsidRPr="006D2505">
              <w:rPr>
                <w:rFonts w:ascii="Calibri" w:hAnsi="Calibri" w:cs="Calibri"/>
                <w:color w:val="000000"/>
                <w:lang w:val="en-GB" w:eastAsia="en-GB"/>
              </w:rPr>
              <w:t xml:space="preserve"> </w:t>
            </w:r>
            <w:proofErr w:type="spellStart"/>
            <w:r w:rsidRPr="006D2505">
              <w:rPr>
                <w:rFonts w:ascii="Calibri" w:hAnsi="Calibri" w:cs="Calibri"/>
                <w:color w:val="000000"/>
                <w:lang w:val="en-GB" w:eastAsia="en-GB"/>
              </w:rPr>
              <w:t>Lamis</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2F2AC60D"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Karal</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6FCA403" w14:textId="77777777" w:rsidR="00476D60" w:rsidRPr="006D2505" w:rsidRDefault="00476D60" w:rsidP="00F83B44">
            <w:pPr>
              <w:jc w:val="center"/>
              <w:rPr>
                <w:rFonts w:ascii="Calibri" w:hAnsi="Calibri" w:cs="Calibri"/>
                <w:color w:val="0070C0"/>
                <w:lang w:val="en-GB" w:eastAsia="en-GB"/>
              </w:rPr>
            </w:pPr>
            <w:r w:rsidRPr="006D2505">
              <w:rPr>
                <w:rFonts w:ascii="Calibri" w:hAnsi="Calibri" w:cs="Calibri"/>
                <w:color w:val="0070C0"/>
                <w:lang w:val="en-GB" w:eastAsia="en-GB"/>
              </w:rPr>
              <w:t>13</w:t>
            </w:r>
          </w:p>
        </w:tc>
        <w:tc>
          <w:tcPr>
            <w:tcW w:w="2116" w:type="dxa"/>
            <w:tcBorders>
              <w:top w:val="nil"/>
              <w:left w:val="nil"/>
              <w:bottom w:val="single" w:sz="4" w:space="0" w:color="auto"/>
              <w:right w:val="single" w:sz="4" w:space="0" w:color="auto"/>
            </w:tcBorders>
            <w:shd w:val="clear" w:color="auto" w:fill="auto"/>
            <w:noWrap/>
            <w:vAlign w:val="center"/>
            <w:hideMark/>
          </w:tcPr>
          <w:p w14:paraId="752CBEE9"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4</w:t>
            </w:r>
          </w:p>
        </w:tc>
        <w:tc>
          <w:tcPr>
            <w:tcW w:w="1428" w:type="dxa"/>
            <w:tcBorders>
              <w:top w:val="nil"/>
              <w:left w:val="nil"/>
              <w:bottom w:val="single" w:sz="4" w:space="0" w:color="auto"/>
              <w:right w:val="single" w:sz="4" w:space="0" w:color="auto"/>
            </w:tcBorders>
            <w:shd w:val="clear" w:color="auto" w:fill="auto"/>
            <w:noWrap/>
            <w:vAlign w:val="center"/>
            <w:hideMark/>
          </w:tcPr>
          <w:p w14:paraId="50A4D6D9"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108</w:t>
            </w:r>
          </w:p>
        </w:tc>
        <w:tc>
          <w:tcPr>
            <w:tcW w:w="1148" w:type="dxa"/>
            <w:tcBorders>
              <w:top w:val="nil"/>
              <w:left w:val="nil"/>
              <w:bottom w:val="single" w:sz="4" w:space="0" w:color="auto"/>
              <w:right w:val="single" w:sz="4" w:space="0" w:color="auto"/>
            </w:tcBorders>
            <w:shd w:val="clear" w:color="auto" w:fill="auto"/>
            <w:noWrap/>
            <w:vAlign w:val="center"/>
            <w:hideMark/>
          </w:tcPr>
          <w:p w14:paraId="5ED31361"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43</w:t>
            </w:r>
          </w:p>
        </w:tc>
      </w:tr>
      <w:tr w:rsidR="00476D60" w:rsidRPr="006D2505" w14:paraId="2FCD9DAB" w14:textId="77777777" w:rsidTr="00F83B44">
        <w:trPr>
          <w:trHeight w:val="39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BF9C17A"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Hadjer</w:t>
            </w:r>
            <w:proofErr w:type="spellEnd"/>
            <w:r w:rsidRPr="006D2505">
              <w:rPr>
                <w:rFonts w:ascii="Calibri" w:hAnsi="Calibri" w:cs="Calibri"/>
                <w:color w:val="000000"/>
                <w:lang w:val="en-GB" w:eastAsia="en-GB"/>
              </w:rPr>
              <w:t xml:space="preserve"> </w:t>
            </w:r>
            <w:proofErr w:type="spellStart"/>
            <w:r w:rsidRPr="006D2505">
              <w:rPr>
                <w:rFonts w:ascii="Calibri" w:hAnsi="Calibri" w:cs="Calibri"/>
                <w:color w:val="000000"/>
                <w:lang w:val="en-GB" w:eastAsia="en-GB"/>
              </w:rPr>
              <w:t>Lamis</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378051D1"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Mani</w:t>
            </w:r>
          </w:p>
        </w:tc>
        <w:tc>
          <w:tcPr>
            <w:tcW w:w="1559" w:type="dxa"/>
            <w:tcBorders>
              <w:top w:val="nil"/>
              <w:left w:val="nil"/>
              <w:bottom w:val="single" w:sz="4" w:space="0" w:color="auto"/>
              <w:right w:val="single" w:sz="4" w:space="0" w:color="auto"/>
            </w:tcBorders>
            <w:shd w:val="clear" w:color="auto" w:fill="auto"/>
            <w:noWrap/>
            <w:vAlign w:val="center"/>
            <w:hideMark/>
          </w:tcPr>
          <w:p w14:paraId="50CF995D" w14:textId="77777777" w:rsidR="00476D60" w:rsidRPr="006D2505" w:rsidRDefault="00476D60" w:rsidP="00F83B44">
            <w:pPr>
              <w:jc w:val="center"/>
              <w:rPr>
                <w:rFonts w:ascii="Calibri" w:hAnsi="Calibri" w:cs="Calibri"/>
                <w:lang w:val="en-GB" w:eastAsia="en-GB"/>
              </w:rPr>
            </w:pPr>
            <w:r w:rsidRPr="006D2505">
              <w:rPr>
                <w:rFonts w:ascii="Calibri" w:hAnsi="Calibri" w:cs="Calibri"/>
                <w:lang w:val="en-GB" w:eastAsia="en-GB"/>
              </w:rPr>
              <w:t>14</w:t>
            </w:r>
          </w:p>
        </w:tc>
        <w:tc>
          <w:tcPr>
            <w:tcW w:w="2116" w:type="dxa"/>
            <w:tcBorders>
              <w:top w:val="nil"/>
              <w:left w:val="nil"/>
              <w:bottom w:val="single" w:sz="4" w:space="0" w:color="auto"/>
              <w:right w:val="single" w:sz="4" w:space="0" w:color="auto"/>
            </w:tcBorders>
            <w:shd w:val="clear" w:color="auto" w:fill="auto"/>
            <w:noWrap/>
            <w:vAlign w:val="center"/>
            <w:hideMark/>
          </w:tcPr>
          <w:p w14:paraId="473B67D7"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5</w:t>
            </w:r>
          </w:p>
        </w:tc>
        <w:tc>
          <w:tcPr>
            <w:tcW w:w="1428" w:type="dxa"/>
            <w:tcBorders>
              <w:top w:val="nil"/>
              <w:left w:val="nil"/>
              <w:bottom w:val="single" w:sz="4" w:space="0" w:color="auto"/>
              <w:right w:val="single" w:sz="4" w:space="0" w:color="auto"/>
            </w:tcBorders>
            <w:shd w:val="clear" w:color="auto" w:fill="auto"/>
            <w:noWrap/>
            <w:vAlign w:val="center"/>
            <w:hideMark/>
          </w:tcPr>
          <w:p w14:paraId="4D0B81E4"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117</w:t>
            </w:r>
          </w:p>
        </w:tc>
        <w:tc>
          <w:tcPr>
            <w:tcW w:w="1148" w:type="dxa"/>
            <w:tcBorders>
              <w:top w:val="nil"/>
              <w:left w:val="nil"/>
              <w:bottom w:val="single" w:sz="4" w:space="0" w:color="auto"/>
              <w:right w:val="single" w:sz="4" w:space="0" w:color="auto"/>
            </w:tcBorders>
            <w:shd w:val="clear" w:color="auto" w:fill="auto"/>
            <w:noWrap/>
            <w:vAlign w:val="center"/>
            <w:hideMark/>
          </w:tcPr>
          <w:p w14:paraId="4D82D90D"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47</w:t>
            </w:r>
          </w:p>
        </w:tc>
      </w:tr>
      <w:tr w:rsidR="00476D60" w:rsidRPr="006D2505" w14:paraId="5A1B9596" w14:textId="77777777" w:rsidTr="00F83B44">
        <w:trPr>
          <w:trHeight w:val="41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E2669B5"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Hadjer</w:t>
            </w:r>
            <w:proofErr w:type="spellEnd"/>
            <w:r w:rsidRPr="006D2505">
              <w:rPr>
                <w:rFonts w:ascii="Calibri" w:hAnsi="Calibri" w:cs="Calibri"/>
                <w:color w:val="000000"/>
                <w:lang w:val="en-GB" w:eastAsia="en-GB"/>
              </w:rPr>
              <w:t xml:space="preserve"> </w:t>
            </w:r>
            <w:proofErr w:type="spellStart"/>
            <w:r w:rsidRPr="006D2505">
              <w:rPr>
                <w:rFonts w:ascii="Calibri" w:hAnsi="Calibri" w:cs="Calibri"/>
                <w:color w:val="000000"/>
                <w:lang w:val="en-GB" w:eastAsia="en-GB"/>
              </w:rPr>
              <w:t>Lamis</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22B234A0"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Massaguet</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99998F2"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21</w:t>
            </w:r>
          </w:p>
        </w:tc>
        <w:tc>
          <w:tcPr>
            <w:tcW w:w="2116" w:type="dxa"/>
            <w:tcBorders>
              <w:top w:val="nil"/>
              <w:left w:val="nil"/>
              <w:bottom w:val="single" w:sz="4" w:space="0" w:color="auto"/>
              <w:right w:val="single" w:sz="4" w:space="0" w:color="auto"/>
            </w:tcBorders>
            <w:shd w:val="clear" w:color="auto" w:fill="auto"/>
            <w:noWrap/>
            <w:vAlign w:val="center"/>
            <w:hideMark/>
          </w:tcPr>
          <w:p w14:paraId="048D45F2"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7</w:t>
            </w:r>
          </w:p>
        </w:tc>
        <w:tc>
          <w:tcPr>
            <w:tcW w:w="1428" w:type="dxa"/>
            <w:tcBorders>
              <w:top w:val="nil"/>
              <w:left w:val="nil"/>
              <w:bottom w:val="single" w:sz="4" w:space="0" w:color="auto"/>
              <w:right w:val="single" w:sz="4" w:space="0" w:color="auto"/>
            </w:tcBorders>
            <w:shd w:val="clear" w:color="auto" w:fill="auto"/>
            <w:noWrap/>
            <w:vAlign w:val="center"/>
            <w:hideMark/>
          </w:tcPr>
          <w:p w14:paraId="3AC11A13"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175</w:t>
            </w:r>
          </w:p>
        </w:tc>
        <w:tc>
          <w:tcPr>
            <w:tcW w:w="1148" w:type="dxa"/>
            <w:tcBorders>
              <w:top w:val="nil"/>
              <w:left w:val="nil"/>
              <w:bottom w:val="single" w:sz="4" w:space="0" w:color="auto"/>
              <w:right w:val="single" w:sz="4" w:space="0" w:color="auto"/>
            </w:tcBorders>
            <w:shd w:val="clear" w:color="auto" w:fill="auto"/>
            <w:noWrap/>
            <w:vAlign w:val="center"/>
            <w:hideMark/>
          </w:tcPr>
          <w:p w14:paraId="1D12177B"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70</w:t>
            </w:r>
          </w:p>
        </w:tc>
      </w:tr>
      <w:tr w:rsidR="00476D60" w:rsidRPr="006D2505" w14:paraId="7F347545" w14:textId="77777777" w:rsidTr="00F83B44">
        <w:trPr>
          <w:trHeight w:val="417"/>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F467567"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lastRenderedPageBreak/>
              <w:t>Hadjer</w:t>
            </w:r>
            <w:proofErr w:type="spellEnd"/>
            <w:r w:rsidRPr="006D2505">
              <w:rPr>
                <w:rFonts w:ascii="Calibri" w:hAnsi="Calibri" w:cs="Calibri"/>
                <w:color w:val="000000"/>
                <w:lang w:val="en-GB" w:eastAsia="en-GB"/>
              </w:rPr>
              <w:t xml:space="preserve"> </w:t>
            </w:r>
            <w:proofErr w:type="spellStart"/>
            <w:r w:rsidRPr="006D2505">
              <w:rPr>
                <w:rFonts w:ascii="Calibri" w:hAnsi="Calibri" w:cs="Calibri"/>
                <w:color w:val="000000"/>
                <w:lang w:val="en-GB" w:eastAsia="en-GB"/>
              </w:rPr>
              <w:t>Lamis</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7D12EF6B"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Massakory</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A77D794"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18</w:t>
            </w:r>
          </w:p>
        </w:tc>
        <w:tc>
          <w:tcPr>
            <w:tcW w:w="2116" w:type="dxa"/>
            <w:tcBorders>
              <w:top w:val="nil"/>
              <w:left w:val="nil"/>
              <w:bottom w:val="single" w:sz="4" w:space="0" w:color="auto"/>
              <w:right w:val="single" w:sz="4" w:space="0" w:color="auto"/>
            </w:tcBorders>
            <w:shd w:val="clear" w:color="auto" w:fill="auto"/>
            <w:noWrap/>
            <w:vAlign w:val="center"/>
            <w:hideMark/>
          </w:tcPr>
          <w:p w14:paraId="42961E69"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6</w:t>
            </w:r>
          </w:p>
        </w:tc>
        <w:tc>
          <w:tcPr>
            <w:tcW w:w="1428" w:type="dxa"/>
            <w:tcBorders>
              <w:top w:val="nil"/>
              <w:left w:val="nil"/>
              <w:bottom w:val="single" w:sz="4" w:space="0" w:color="auto"/>
              <w:right w:val="single" w:sz="4" w:space="0" w:color="auto"/>
            </w:tcBorders>
            <w:shd w:val="clear" w:color="auto" w:fill="auto"/>
            <w:noWrap/>
            <w:vAlign w:val="center"/>
            <w:hideMark/>
          </w:tcPr>
          <w:p w14:paraId="14196D3A"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150</w:t>
            </w:r>
          </w:p>
        </w:tc>
        <w:tc>
          <w:tcPr>
            <w:tcW w:w="1148" w:type="dxa"/>
            <w:tcBorders>
              <w:top w:val="nil"/>
              <w:left w:val="nil"/>
              <w:bottom w:val="single" w:sz="4" w:space="0" w:color="auto"/>
              <w:right w:val="single" w:sz="4" w:space="0" w:color="auto"/>
            </w:tcBorders>
            <w:shd w:val="clear" w:color="auto" w:fill="auto"/>
            <w:noWrap/>
            <w:vAlign w:val="center"/>
            <w:hideMark/>
          </w:tcPr>
          <w:p w14:paraId="2E7FFDB3"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60</w:t>
            </w:r>
          </w:p>
        </w:tc>
      </w:tr>
      <w:tr w:rsidR="00476D60" w:rsidRPr="006D2505" w14:paraId="3D43680C" w14:textId="77777777" w:rsidTr="00F83B44">
        <w:trPr>
          <w:trHeight w:val="29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A83CF94"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Mayo Kebbi Est</w:t>
            </w:r>
          </w:p>
        </w:tc>
        <w:tc>
          <w:tcPr>
            <w:tcW w:w="1985" w:type="dxa"/>
            <w:tcBorders>
              <w:top w:val="nil"/>
              <w:left w:val="nil"/>
              <w:bottom w:val="single" w:sz="4" w:space="0" w:color="auto"/>
              <w:right w:val="single" w:sz="4" w:space="0" w:color="auto"/>
            </w:tcBorders>
            <w:shd w:val="clear" w:color="auto" w:fill="auto"/>
            <w:noWrap/>
            <w:vAlign w:val="center"/>
            <w:hideMark/>
          </w:tcPr>
          <w:p w14:paraId="4DBF2FD1"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Bongor</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A9A309B" w14:textId="77777777" w:rsidR="00476D60" w:rsidRPr="006D2505" w:rsidRDefault="00476D60" w:rsidP="00F83B44">
            <w:pPr>
              <w:jc w:val="center"/>
              <w:rPr>
                <w:rFonts w:ascii="Calibri" w:hAnsi="Calibri" w:cs="Calibri"/>
                <w:lang w:val="en-GB" w:eastAsia="en-GB"/>
              </w:rPr>
            </w:pPr>
            <w:r w:rsidRPr="006D2505">
              <w:rPr>
                <w:rFonts w:ascii="Calibri" w:hAnsi="Calibri" w:cs="Calibri"/>
                <w:lang w:val="en-GB" w:eastAsia="en-GB"/>
              </w:rPr>
              <w:t>25</w:t>
            </w:r>
          </w:p>
        </w:tc>
        <w:tc>
          <w:tcPr>
            <w:tcW w:w="2116" w:type="dxa"/>
            <w:tcBorders>
              <w:top w:val="nil"/>
              <w:left w:val="nil"/>
              <w:bottom w:val="single" w:sz="4" w:space="0" w:color="auto"/>
              <w:right w:val="single" w:sz="4" w:space="0" w:color="auto"/>
            </w:tcBorders>
            <w:shd w:val="clear" w:color="auto" w:fill="auto"/>
            <w:noWrap/>
            <w:vAlign w:val="center"/>
            <w:hideMark/>
          </w:tcPr>
          <w:p w14:paraId="48476F51"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8</w:t>
            </w:r>
          </w:p>
        </w:tc>
        <w:tc>
          <w:tcPr>
            <w:tcW w:w="1428" w:type="dxa"/>
            <w:tcBorders>
              <w:top w:val="nil"/>
              <w:left w:val="nil"/>
              <w:bottom w:val="single" w:sz="4" w:space="0" w:color="auto"/>
              <w:right w:val="single" w:sz="4" w:space="0" w:color="auto"/>
            </w:tcBorders>
            <w:shd w:val="clear" w:color="auto" w:fill="auto"/>
            <w:noWrap/>
            <w:vAlign w:val="center"/>
            <w:hideMark/>
          </w:tcPr>
          <w:p w14:paraId="77865B6D"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208</w:t>
            </w:r>
          </w:p>
        </w:tc>
        <w:tc>
          <w:tcPr>
            <w:tcW w:w="1148" w:type="dxa"/>
            <w:tcBorders>
              <w:top w:val="nil"/>
              <w:left w:val="nil"/>
              <w:bottom w:val="single" w:sz="4" w:space="0" w:color="auto"/>
              <w:right w:val="single" w:sz="4" w:space="0" w:color="auto"/>
            </w:tcBorders>
            <w:shd w:val="clear" w:color="auto" w:fill="auto"/>
            <w:noWrap/>
            <w:vAlign w:val="center"/>
            <w:hideMark/>
          </w:tcPr>
          <w:p w14:paraId="786E5F1A"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83</w:t>
            </w:r>
          </w:p>
        </w:tc>
      </w:tr>
      <w:tr w:rsidR="00476D60" w:rsidRPr="006D2505" w14:paraId="395A55CB" w14:textId="77777777" w:rsidTr="00F83B44">
        <w:trPr>
          <w:trHeight w:val="27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DFB7B16"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Mayo Kebbi Est</w:t>
            </w:r>
          </w:p>
        </w:tc>
        <w:tc>
          <w:tcPr>
            <w:tcW w:w="1985" w:type="dxa"/>
            <w:tcBorders>
              <w:top w:val="nil"/>
              <w:left w:val="nil"/>
              <w:bottom w:val="single" w:sz="4" w:space="0" w:color="auto"/>
              <w:right w:val="single" w:sz="4" w:space="0" w:color="auto"/>
            </w:tcBorders>
            <w:shd w:val="clear" w:color="auto" w:fill="auto"/>
            <w:noWrap/>
            <w:vAlign w:val="center"/>
            <w:hideMark/>
          </w:tcPr>
          <w:p w14:paraId="13ADD5F5"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Guelendeng</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EF5DF1D"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10</w:t>
            </w:r>
          </w:p>
        </w:tc>
        <w:tc>
          <w:tcPr>
            <w:tcW w:w="2116" w:type="dxa"/>
            <w:tcBorders>
              <w:top w:val="nil"/>
              <w:left w:val="nil"/>
              <w:bottom w:val="single" w:sz="4" w:space="0" w:color="auto"/>
              <w:right w:val="single" w:sz="4" w:space="0" w:color="auto"/>
            </w:tcBorders>
            <w:shd w:val="clear" w:color="auto" w:fill="auto"/>
            <w:noWrap/>
            <w:vAlign w:val="center"/>
            <w:hideMark/>
          </w:tcPr>
          <w:p w14:paraId="097D1D7A"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3</w:t>
            </w:r>
          </w:p>
        </w:tc>
        <w:tc>
          <w:tcPr>
            <w:tcW w:w="1428" w:type="dxa"/>
            <w:tcBorders>
              <w:top w:val="nil"/>
              <w:left w:val="nil"/>
              <w:bottom w:val="single" w:sz="4" w:space="0" w:color="auto"/>
              <w:right w:val="single" w:sz="4" w:space="0" w:color="auto"/>
            </w:tcBorders>
            <w:shd w:val="clear" w:color="auto" w:fill="auto"/>
            <w:noWrap/>
            <w:vAlign w:val="center"/>
            <w:hideMark/>
          </w:tcPr>
          <w:p w14:paraId="1FE07ECE"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83</w:t>
            </w:r>
          </w:p>
        </w:tc>
        <w:tc>
          <w:tcPr>
            <w:tcW w:w="1148" w:type="dxa"/>
            <w:tcBorders>
              <w:top w:val="nil"/>
              <w:left w:val="nil"/>
              <w:bottom w:val="single" w:sz="4" w:space="0" w:color="auto"/>
              <w:right w:val="single" w:sz="4" w:space="0" w:color="auto"/>
            </w:tcBorders>
            <w:shd w:val="clear" w:color="auto" w:fill="auto"/>
            <w:noWrap/>
            <w:vAlign w:val="center"/>
            <w:hideMark/>
          </w:tcPr>
          <w:p w14:paraId="026D6222"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33</w:t>
            </w:r>
          </w:p>
        </w:tc>
      </w:tr>
      <w:tr w:rsidR="00476D60" w:rsidRPr="006D2505" w14:paraId="654EA287" w14:textId="77777777" w:rsidTr="00F83B44">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99A235D"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Mayo Kebbi Est</w:t>
            </w:r>
          </w:p>
        </w:tc>
        <w:tc>
          <w:tcPr>
            <w:tcW w:w="1985" w:type="dxa"/>
            <w:tcBorders>
              <w:top w:val="nil"/>
              <w:left w:val="nil"/>
              <w:bottom w:val="single" w:sz="4" w:space="0" w:color="auto"/>
              <w:right w:val="single" w:sz="4" w:space="0" w:color="auto"/>
            </w:tcBorders>
            <w:shd w:val="clear" w:color="auto" w:fill="auto"/>
            <w:noWrap/>
            <w:vAlign w:val="center"/>
            <w:hideMark/>
          </w:tcPr>
          <w:p w14:paraId="094B96BB"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Moulkou</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3E245A6"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8</w:t>
            </w:r>
          </w:p>
        </w:tc>
        <w:tc>
          <w:tcPr>
            <w:tcW w:w="2116" w:type="dxa"/>
            <w:tcBorders>
              <w:top w:val="nil"/>
              <w:left w:val="nil"/>
              <w:bottom w:val="single" w:sz="4" w:space="0" w:color="auto"/>
              <w:right w:val="single" w:sz="4" w:space="0" w:color="auto"/>
            </w:tcBorders>
            <w:shd w:val="clear" w:color="auto" w:fill="auto"/>
            <w:noWrap/>
            <w:vAlign w:val="center"/>
            <w:hideMark/>
          </w:tcPr>
          <w:p w14:paraId="0A96B03F"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3</w:t>
            </w:r>
          </w:p>
        </w:tc>
        <w:tc>
          <w:tcPr>
            <w:tcW w:w="1428" w:type="dxa"/>
            <w:tcBorders>
              <w:top w:val="nil"/>
              <w:left w:val="nil"/>
              <w:bottom w:val="single" w:sz="4" w:space="0" w:color="auto"/>
              <w:right w:val="single" w:sz="4" w:space="0" w:color="auto"/>
            </w:tcBorders>
            <w:shd w:val="clear" w:color="auto" w:fill="auto"/>
            <w:noWrap/>
            <w:vAlign w:val="center"/>
            <w:hideMark/>
          </w:tcPr>
          <w:p w14:paraId="51F42A8A"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67</w:t>
            </w:r>
          </w:p>
        </w:tc>
        <w:tc>
          <w:tcPr>
            <w:tcW w:w="1148" w:type="dxa"/>
            <w:tcBorders>
              <w:top w:val="nil"/>
              <w:left w:val="nil"/>
              <w:bottom w:val="single" w:sz="4" w:space="0" w:color="auto"/>
              <w:right w:val="single" w:sz="4" w:space="0" w:color="auto"/>
            </w:tcBorders>
            <w:shd w:val="clear" w:color="auto" w:fill="auto"/>
            <w:noWrap/>
            <w:vAlign w:val="center"/>
            <w:hideMark/>
          </w:tcPr>
          <w:p w14:paraId="1F10DF2E"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27</w:t>
            </w:r>
          </w:p>
        </w:tc>
      </w:tr>
      <w:tr w:rsidR="00476D60" w:rsidRPr="006D2505" w14:paraId="6F46EACE" w14:textId="77777777" w:rsidTr="00F83B44">
        <w:trPr>
          <w:trHeight w:val="273"/>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14BE0570"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Mayo Kebbi Est</w:t>
            </w:r>
          </w:p>
        </w:tc>
        <w:tc>
          <w:tcPr>
            <w:tcW w:w="1985" w:type="dxa"/>
            <w:tcBorders>
              <w:top w:val="nil"/>
              <w:left w:val="nil"/>
              <w:bottom w:val="single" w:sz="4" w:space="0" w:color="auto"/>
              <w:right w:val="single" w:sz="4" w:space="0" w:color="auto"/>
            </w:tcBorders>
            <w:shd w:val="clear" w:color="000000" w:fill="FFFFFF"/>
            <w:noWrap/>
            <w:vAlign w:val="center"/>
            <w:hideMark/>
          </w:tcPr>
          <w:p w14:paraId="58E35ED8"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Gam</w:t>
            </w:r>
          </w:p>
        </w:tc>
        <w:tc>
          <w:tcPr>
            <w:tcW w:w="1559" w:type="dxa"/>
            <w:tcBorders>
              <w:top w:val="nil"/>
              <w:left w:val="nil"/>
              <w:bottom w:val="single" w:sz="4" w:space="0" w:color="auto"/>
              <w:right w:val="single" w:sz="4" w:space="0" w:color="auto"/>
            </w:tcBorders>
            <w:shd w:val="clear" w:color="auto" w:fill="auto"/>
            <w:noWrap/>
            <w:vAlign w:val="center"/>
            <w:hideMark/>
          </w:tcPr>
          <w:p w14:paraId="25BA7769"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11</w:t>
            </w:r>
          </w:p>
        </w:tc>
        <w:tc>
          <w:tcPr>
            <w:tcW w:w="2116" w:type="dxa"/>
            <w:tcBorders>
              <w:top w:val="nil"/>
              <w:left w:val="nil"/>
              <w:bottom w:val="single" w:sz="4" w:space="0" w:color="auto"/>
              <w:right w:val="single" w:sz="4" w:space="0" w:color="auto"/>
            </w:tcBorders>
            <w:shd w:val="clear" w:color="auto" w:fill="auto"/>
            <w:noWrap/>
            <w:vAlign w:val="center"/>
            <w:hideMark/>
          </w:tcPr>
          <w:p w14:paraId="7D83C30B"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4</w:t>
            </w:r>
          </w:p>
        </w:tc>
        <w:tc>
          <w:tcPr>
            <w:tcW w:w="1428" w:type="dxa"/>
            <w:tcBorders>
              <w:top w:val="nil"/>
              <w:left w:val="nil"/>
              <w:bottom w:val="single" w:sz="4" w:space="0" w:color="auto"/>
              <w:right w:val="single" w:sz="4" w:space="0" w:color="auto"/>
            </w:tcBorders>
            <w:shd w:val="clear" w:color="auto" w:fill="auto"/>
            <w:noWrap/>
            <w:vAlign w:val="center"/>
            <w:hideMark/>
          </w:tcPr>
          <w:p w14:paraId="42DE7D46"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92</w:t>
            </w:r>
          </w:p>
        </w:tc>
        <w:tc>
          <w:tcPr>
            <w:tcW w:w="1148" w:type="dxa"/>
            <w:tcBorders>
              <w:top w:val="nil"/>
              <w:left w:val="nil"/>
              <w:bottom w:val="single" w:sz="4" w:space="0" w:color="auto"/>
              <w:right w:val="single" w:sz="4" w:space="0" w:color="auto"/>
            </w:tcBorders>
            <w:shd w:val="clear" w:color="auto" w:fill="auto"/>
            <w:noWrap/>
            <w:vAlign w:val="center"/>
            <w:hideMark/>
          </w:tcPr>
          <w:p w14:paraId="6C78BF11"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37</w:t>
            </w:r>
          </w:p>
        </w:tc>
      </w:tr>
      <w:tr w:rsidR="00476D60" w:rsidRPr="006D2505" w14:paraId="73F44E44" w14:textId="77777777" w:rsidTr="00F83B44">
        <w:trPr>
          <w:trHeight w:val="27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0EAAD5F4"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Mayo Kebbi Est</w:t>
            </w:r>
          </w:p>
        </w:tc>
        <w:tc>
          <w:tcPr>
            <w:tcW w:w="1985" w:type="dxa"/>
            <w:tcBorders>
              <w:top w:val="nil"/>
              <w:left w:val="nil"/>
              <w:bottom w:val="single" w:sz="4" w:space="0" w:color="auto"/>
              <w:right w:val="single" w:sz="4" w:space="0" w:color="auto"/>
            </w:tcBorders>
            <w:shd w:val="clear" w:color="000000" w:fill="FFFFFF"/>
            <w:noWrap/>
            <w:vAlign w:val="center"/>
            <w:hideMark/>
          </w:tcPr>
          <w:p w14:paraId="4ADEA185"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KATOA</w:t>
            </w:r>
          </w:p>
        </w:tc>
        <w:tc>
          <w:tcPr>
            <w:tcW w:w="1559" w:type="dxa"/>
            <w:tcBorders>
              <w:top w:val="nil"/>
              <w:left w:val="nil"/>
              <w:bottom w:val="single" w:sz="4" w:space="0" w:color="auto"/>
              <w:right w:val="single" w:sz="4" w:space="0" w:color="auto"/>
            </w:tcBorders>
            <w:shd w:val="clear" w:color="auto" w:fill="auto"/>
            <w:noWrap/>
            <w:vAlign w:val="center"/>
            <w:hideMark/>
          </w:tcPr>
          <w:p w14:paraId="59E747C7"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4</w:t>
            </w:r>
          </w:p>
        </w:tc>
        <w:tc>
          <w:tcPr>
            <w:tcW w:w="2116" w:type="dxa"/>
            <w:tcBorders>
              <w:top w:val="nil"/>
              <w:left w:val="nil"/>
              <w:bottom w:val="single" w:sz="4" w:space="0" w:color="auto"/>
              <w:right w:val="single" w:sz="4" w:space="0" w:color="auto"/>
            </w:tcBorders>
            <w:shd w:val="clear" w:color="auto" w:fill="auto"/>
            <w:noWrap/>
            <w:vAlign w:val="center"/>
            <w:hideMark/>
          </w:tcPr>
          <w:p w14:paraId="18B97CAE"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w:t>
            </w:r>
          </w:p>
        </w:tc>
        <w:tc>
          <w:tcPr>
            <w:tcW w:w="1428" w:type="dxa"/>
            <w:tcBorders>
              <w:top w:val="nil"/>
              <w:left w:val="nil"/>
              <w:bottom w:val="single" w:sz="4" w:space="0" w:color="auto"/>
              <w:right w:val="single" w:sz="4" w:space="0" w:color="auto"/>
            </w:tcBorders>
            <w:shd w:val="clear" w:color="auto" w:fill="auto"/>
            <w:noWrap/>
            <w:vAlign w:val="center"/>
            <w:hideMark/>
          </w:tcPr>
          <w:p w14:paraId="1EF0DB75"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33</w:t>
            </w:r>
          </w:p>
        </w:tc>
        <w:tc>
          <w:tcPr>
            <w:tcW w:w="1148" w:type="dxa"/>
            <w:tcBorders>
              <w:top w:val="nil"/>
              <w:left w:val="nil"/>
              <w:bottom w:val="single" w:sz="4" w:space="0" w:color="auto"/>
              <w:right w:val="single" w:sz="4" w:space="0" w:color="auto"/>
            </w:tcBorders>
            <w:shd w:val="clear" w:color="auto" w:fill="auto"/>
            <w:noWrap/>
            <w:vAlign w:val="center"/>
            <w:hideMark/>
          </w:tcPr>
          <w:p w14:paraId="191FCC7B"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13</w:t>
            </w:r>
          </w:p>
        </w:tc>
      </w:tr>
      <w:tr w:rsidR="00476D60" w:rsidRPr="006D2505" w14:paraId="3E2592CA" w14:textId="77777777" w:rsidTr="00F83B44">
        <w:trPr>
          <w:trHeight w:val="27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E6B80C2"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N'Djamena</w:t>
            </w:r>
          </w:p>
        </w:tc>
        <w:tc>
          <w:tcPr>
            <w:tcW w:w="1985" w:type="dxa"/>
            <w:tcBorders>
              <w:top w:val="nil"/>
              <w:left w:val="nil"/>
              <w:bottom w:val="single" w:sz="4" w:space="0" w:color="auto"/>
              <w:right w:val="single" w:sz="4" w:space="0" w:color="auto"/>
            </w:tcBorders>
            <w:shd w:val="clear" w:color="auto" w:fill="auto"/>
            <w:noWrap/>
            <w:vAlign w:val="center"/>
            <w:hideMark/>
          </w:tcPr>
          <w:p w14:paraId="7D378EA1"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N'Djamena Centre</w:t>
            </w:r>
          </w:p>
        </w:tc>
        <w:tc>
          <w:tcPr>
            <w:tcW w:w="1559" w:type="dxa"/>
            <w:tcBorders>
              <w:top w:val="nil"/>
              <w:left w:val="nil"/>
              <w:bottom w:val="single" w:sz="4" w:space="0" w:color="auto"/>
              <w:right w:val="single" w:sz="4" w:space="0" w:color="auto"/>
            </w:tcBorders>
            <w:shd w:val="clear" w:color="auto" w:fill="auto"/>
            <w:noWrap/>
            <w:vAlign w:val="center"/>
            <w:hideMark/>
          </w:tcPr>
          <w:p w14:paraId="5767B5F1"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17</w:t>
            </w:r>
          </w:p>
        </w:tc>
        <w:tc>
          <w:tcPr>
            <w:tcW w:w="2116" w:type="dxa"/>
            <w:tcBorders>
              <w:top w:val="nil"/>
              <w:left w:val="nil"/>
              <w:bottom w:val="single" w:sz="4" w:space="0" w:color="auto"/>
              <w:right w:val="single" w:sz="4" w:space="0" w:color="auto"/>
            </w:tcBorders>
            <w:shd w:val="clear" w:color="auto" w:fill="auto"/>
            <w:noWrap/>
            <w:vAlign w:val="center"/>
            <w:hideMark/>
          </w:tcPr>
          <w:p w14:paraId="40BBB757"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6</w:t>
            </w:r>
          </w:p>
        </w:tc>
        <w:tc>
          <w:tcPr>
            <w:tcW w:w="1428" w:type="dxa"/>
            <w:tcBorders>
              <w:top w:val="nil"/>
              <w:left w:val="nil"/>
              <w:bottom w:val="single" w:sz="4" w:space="0" w:color="auto"/>
              <w:right w:val="single" w:sz="4" w:space="0" w:color="auto"/>
            </w:tcBorders>
            <w:shd w:val="clear" w:color="auto" w:fill="auto"/>
            <w:noWrap/>
            <w:vAlign w:val="center"/>
            <w:hideMark/>
          </w:tcPr>
          <w:p w14:paraId="7C7567CF"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142</w:t>
            </w:r>
          </w:p>
        </w:tc>
        <w:tc>
          <w:tcPr>
            <w:tcW w:w="1148" w:type="dxa"/>
            <w:tcBorders>
              <w:top w:val="nil"/>
              <w:left w:val="nil"/>
              <w:bottom w:val="single" w:sz="4" w:space="0" w:color="auto"/>
              <w:right w:val="single" w:sz="4" w:space="0" w:color="auto"/>
            </w:tcBorders>
            <w:shd w:val="clear" w:color="auto" w:fill="auto"/>
            <w:noWrap/>
            <w:vAlign w:val="center"/>
            <w:hideMark/>
          </w:tcPr>
          <w:p w14:paraId="3F1C5CEC"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57</w:t>
            </w:r>
          </w:p>
        </w:tc>
      </w:tr>
      <w:tr w:rsidR="00476D60" w:rsidRPr="006D2505" w14:paraId="3749A6B1" w14:textId="77777777" w:rsidTr="00F83B44">
        <w:trPr>
          <w:trHeight w:val="28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27D2D0B"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N'Djamena</w:t>
            </w:r>
          </w:p>
        </w:tc>
        <w:tc>
          <w:tcPr>
            <w:tcW w:w="1985" w:type="dxa"/>
            <w:tcBorders>
              <w:top w:val="nil"/>
              <w:left w:val="nil"/>
              <w:bottom w:val="single" w:sz="4" w:space="0" w:color="auto"/>
              <w:right w:val="single" w:sz="4" w:space="0" w:color="auto"/>
            </w:tcBorders>
            <w:shd w:val="clear" w:color="auto" w:fill="auto"/>
            <w:noWrap/>
            <w:vAlign w:val="center"/>
            <w:hideMark/>
          </w:tcPr>
          <w:p w14:paraId="5735DAC8"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N'Djamena Est</w:t>
            </w:r>
          </w:p>
        </w:tc>
        <w:tc>
          <w:tcPr>
            <w:tcW w:w="1559" w:type="dxa"/>
            <w:tcBorders>
              <w:top w:val="nil"/>
              <w:left w:val="nil"/>
              <w:bottom w:val="single" w:sz="4" w:space="0" w:color="auto"/>
              <w:right w:val="single" w:sz="4" w:space="0" w:color="auto"/>
            </w:tcBorders>
            <w:shd w:val="clear" w:color="auto" w:fill="auto"/>
            <w:noWrap/>
            <w:vAlign w:val="center"/>
            <w:hideMark/>
          </w:tcPr>
          <w:p w14:paraId="4817180D"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21</w:t>
            </w:r>
          </w:p>
        </w:tc>
        <w:tc>
          <w:tcPr>
            <w:tcW w:w="2116" w:type="dxa"/>
            <w:tcBorders>
              <w:top w:val="nil"/>
              <w:left w:val="nil"/>
              <w:bottom w:val="single" w:sz="4" w:space="0" w:color="auto"/>
              <w:right w:val="single" w:sz="4" w:space="0" w:color="auto"/>
            </w:tcBorders>
            <w:shd w:val="clear" w:color="auto" w:fill="auto"/>
            <w:noWrap/>
            <w:vAlign w:val="center"/>
            <w:hideMark/>
          </w:tcPr>
          <w:p w14:paraId="39028C0E"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7</w:t>
            </w:r>
          </w:p>
        </w:tc>
        <w:tc>
          <w:tcPr>
            <w:tcW w:w="1428" w:type="dxa"/>
            <w:tcBorders>
              <w:top w:val="nil"/>
              <w:left w:val="nil"/>
              <w:bottom w:val="single" w:sz="4" w:space="0" w:color="auto"/>
              <w:right w:val="single" w:sz="4" w:space="0" w:color="auto"/>
            </w:tcBorders>
            <w:shd w:val="clear" w:color="auto" w:fill="auto"/>
            <w:noWrap/>
            <w:vAlign w:val="center"/>
            <w:hideMark/>
          </w:tcPr>
          <w:p w14:paraId="31C3CD0E"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175</w:t>
            </w:r>
          </w:p>
        </w:tc>
        <w:tc>
          <w:tcPr>
            <w:tcW w:w="1148" w:type="dxa"/>
            <w:tcBorders>
              <w:top w:val="nil"/>
              <w:left w:val="nil"/>
              <w:bottom w:val="single" w:sz="4" w:space="0" w:color="auto"/>
              <w:right w:val="single" w:sz="4" w:space="0" w:color="auto"/>
            </w:tcBorders>
            <w:shd w:val="clear" w:color="auto" w:fill="auto"/>
            <w:noWrap/>
            <w:vAlign w:val="center"/>
            <w:hideMark/>
          </w:tcPr>
          <w:p w14:paraId="3F9E4F01"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70</w:t>
            </w:r>
          </w:p>
        </w:tc>
      </w:tr>
      <w:tr w:rsidR="00476D60" w:rsidRPr="006D2505" w14:paraId="09A4B88E" w14:textId="77777777" w:rsidTr="00F83B44">
        <w:trPr>
          <w:trHeight w:val="27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F8C992A"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N'Djamena</w:t>
            </w:r>
          </w:p>
        </w:tc>
        <w:tc>
          <w:tcPr>
            <w:tcW w:w="1985" w:type="dxa"/>
            <w:tcBorders>
              <w:top w:val="nil"/>
              <w:left w:val="nil"/>
              <w:bottom w:val="single" w:sz="4" w:space="0" w:color="auto"/>
              <w:right w:val="single" w:sz="4" w:space="0" w:color="auto"/>
            </w:tcBorders>
            <w:shd w:val="clear" w:color="auto" w:fill="auto"/>
            <w:noWrap/>
            <w:vAlign w:val="center"/>
            <w:hideMark/>
          </w:tcPr>
          <w:p w14:paraId="6FDC90F5"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N'Djamena Nord</w:t>
            </w:r>
          </w:p>
        </w:tc>
        <w:tc>
          <w:tcPr>
            <w:tcW w:w="1559" w:type="dxa"/>
            <w:tcBorders>
              <w:top w:val="nil"/>
              <w:left w:val="nil"/>
              <w:bottom w:val="single" w:sz="4" w:space="0" w:color="auto"/>
              <w:right w:val="single" w:sz="4" w:space="0" w:color="auto"/>
            </w:tcBorders>
            <w:shd w:val="clear" w:color="auto" w:fill="auto"/>
            <w:noWrap/>
            <w:vAlign w:val="center"/>
            <w:hideMark/>
          </w:tcPr>
          <w:p w14:paraId="7BB209C0"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17</w:t>
            </w:r>
          </w:p>
        </w:tc>
        <w:tc>
          <w:tcPr>
            <w:tcW w:w="2116" w:type="dxa"/>
            <w:tcBorders>
              <w:top w:val="nil"/>
              <w:left w:val="nil"/>
              <w:bottom w:val="single" w:sz="4" w:space="0" w:color="auto"/>
              <w:right w:val="single" w:sz="4" w:space="0" w:color="auto"/>
            </w:tcBorders>
            <w:shd w:val="clear" w:color="auto" w:fill="auto"/>
            <w:noWrap/>
            <w:vAlign w:val="center"/>
            <w:hideMark/>
          </w:tcPr>
          <w:p w14:paraId="782D099A"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6</w:t>
            </w:r>
          </w:p>
        </w:tc>
        <w:tc>
          <w:tcPr>
            <w:tcW w:w="1428" w:type="dxa"/>
            <w:tcBorders>
              <w:top w:val="nil"/>
              <w:left w:val="nil"/>
              <w:bottom w:val="single" w:sz="4" w:space="0" w:color="auto"/>
              <w:right w:val="single" w:sz="4" w:space="0" w:color="auto"/>
            </w:tcBorders>
            <w:shd w:val="clear" w:color="auto" w:fill="auto"/>
            <w:noWrap/>
            <w:vAlign w:val="center"/>
            <w:hideMark/>
          </w:tcPr>
          <w:p w14:paraId="72D646B6"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142</w:t>
            </w:r>
          </w:p>
        </w:tc>
        <w:tc>
          <w:tcPr>
            <w:tcW w:w="1148" w:type="dxa"/>
            <w:tcBorders>
              <w:top w:val="nil"/>
              <w:left w:val="nil"/>
              <w:bottom w:val="single" w:sz="4" w:space="0" w:color="auto"/>
              <w:right w:val="single" w:sz="4" w:space="0" w:color="auto"/>
            </w:tcBorders>
            <w:shd w:val="clear" w:color="auto" w:fill="auto"/>
            <w:noWrap/>
            <w:vAlign w:val="center"/>
            <w:hideMark/>
          </w:tcPr>
          <w:p w14:paraId="2163B85E"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57</w:t>
            </w:r>
          </w:p>
        </w:tc>
      </w:tr>
      <w:tr w:rsidR="00476D60" w:rsidRPr="006D2505" w14:paraId="21A72268" w14:textId="77777777" w:rsidTr="00F83B44">
        <w:trPr>
          <w:trHeight w:val="274"/>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F48E13A"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N'Djamena</w:t>
            </w:r>
          </w:p>
        </w:tc>
        <w:tc>
          <w:tcPr>
            <w:tcW w:w="1985" w:type="dxa"/>
            <w:tcBorders>
              <w:top w:val="nil"/>
              <w:left w:val="nil"/>
              <w:bottom w:val="single" w:sz="4" w:space="0" w:color="auto"/>
              <w:right w:val="single" w:sz="4" w:space="0" w:color="auto"/>
            </w:tcBorders>
            <w:shd w:val="clear" w:color="auto" w:fill="auto"/>
            <w:noWrap/>
            <w:vAlign w:val="center"/>
            <w:hideMark/>
          </w:tcPr>
          <w:p w14:paraId="79F5260A"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N'Djamena Sud</w:t>
            </w:r>
          </w:p>
        </w:tc>
        <w:tc>
          <w:tcPr>
            <w:tcW w:w="1559" w:type="dxa"/>
            <w:tcBorders>
              <w:top w:val="nil"/>
              <w:left w:val="nil"/>
              <w:bottom w:val="single" w:sz="4" w:space="0" w:color="auto"/>
              <w:right w:val="single" w:sz="4" w:space="0" w:color="auto"/>
            </w:tcBorders>
            <w:shd w:val="clear" w:color="auto" w:fill="auto"/>
            <w:noWrap/>
            <w:vAlign w:val="center"/>
            <w:hideMark/>
          </w:tcPr>
          <w:p w14:paraId="4CC141C5"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29</w:t>
            </w:r>
          </w:p>
        </w:tc>
        <w:tc>
          <w:tcPr>
            <w:tcW w:w="2116" w:type="dxa"/>
            <w:tcBorders>
              <w:top w:val="nil"/>
              <w:left w:val="nil"/>
              <w:bottom w:val="single" w:sz="4" w:space="0" w:color="auto"/>
              <w:right w:val="single" w:sz="4" w:space="0" w:color="auto"/>
            </w:tcBorders>
            <w:shd w:val="clear" w:color="auto" w:fill="auto"/>
            <w:noWrap/>
            <w:vAlign w:val="center"/>
            <w:hideMark/>
          </w:tcPr>
          <w:p w14:paraId="2D051163"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10</w:t>
            </w:r>
          </w:p>
        </w:tc>
        <w:tc>
          <w:tcPr>
            <w:tcW w:w="1428" w:type="dxa"/>
            <w:tcBorders>
              <w:top w:val="nil"/>
              <w:left w:val="nil"/>
              <w:bottom w:val="single" w:sz="4" w:space="0" w:color="auto"/>
              <w:right w:val="single" w:sz="4" w:space="0" w:color="auto"/>
            </w:tcBorders>
            <w:shd w:val="clear" w:color="auto" w:fill="auto"/>
            <w:noWrap/>
            <w:vAlign w:val="center"/>
            <w:hideMark/>
          </w:tcPr>
          <w:p w14:paraId="3678CF3E"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242</w:t>
            </w:r>
          </w:p>
        </w:tc>
        <w:tc>
          <w:tcPr>
            <w:tcW w:w="1148" w:type="dxa"/>
            <w:tcBorders>
              <w:top w:val="nil"/>
              <w:left w:val="nil"/>
              <w:bottom w:val="single" w:sz="4" w:space="0" w:color="auto"/>
              <w:right w:val="single" w:sz="4" w:space="0" w:color="auto"/>
            </w:tcBorders>
            <w:shd w:val="clear" w:color="auto" w:fill="auto"/>
            <w:noWrap/>
            <w:vAlign w:val="center"/>
            <w:hideMark/>
          </w:tcPr>
          <w:p w14:paraId="53B353EA"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97</w:t>
            </w:r>
          </w:p>
        </w:tc>
      </w:tr>
      <w:tr w:rsidR="00476D60" w:rsidRPr="006D2505" w14:paraId="252EE35D" w14:textId="77777777" w:rsidTr="00F83B44">
        <w:trPr>
          <w:trHeight w:val="26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3DFC6ED"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N'Djamena</w:t>
            </w:r>
          </w:p>
        </w:tc>
        <w:tc>
          <w:tcPr>
            <w:tcW w:w="1985" w:type="dxa"/>
            <w:tcBorders>
              <w:top w:val="nil"/>
              <w:left w:val="nil"/>
              <w:bottom w:val="single" w:sz="4" w:space="0" w:color="auto"/>
              <w:right w:val="single" w:sz="4" w:space="0" w:color="auto"/>
            </w:tcBorders>
            <w:shd w:val="clear" w:color="auto" w:fill="auto"/>
            <w:noWrap/>
            <w:vAlign w:val="center"/>
            <w:hideMark/>
          </w:tcPr>
          <w:p w14:paraId="5ADF2F17"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Toukra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F1E59A6"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17</w:t>
            </w:r>
          </w:p>
        </w:tc>
        <w:tc>
          <w:tcPr>
            <w:tcW w:w="2116" w:type="dxa"/>
            <w:tcBorders>
              <w:top w:val="nil"/>
              <w:left w:val="nil"/>
              <w:bottom w:val="single" w:sz="4" w:space="0" w:color="auto"/>
              <w:right w:val="single" w:sz="4" w:space="0" w:color="auto"/>
            </w:tcBorders>
            <w:shd w:val="clear" w:color="auto" w:fill="auto"/>
            <w:noWrap/>
            <w:vAlign w:val="center"/>
            <w:hideMark/>
          </w:tcPr>
          <w:p w14:paraId="0A621C69"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6</w:t>
            </w:r>
          </w:p>
        </w:tc>
        <w:tc>
          <w:tcPr>
            <w:tcW w:w="1428" w:type="dxa"/>
            <w:tcBorders>
              <w:top w:val="nil"/>
              <w:left w:val="nil"/>
              <w:bottom w:val="single" w:sz="4" w:space="0" w:color="auto"/>
              <w:right w:val="single" w:sz="4" w:space="0" w:color="auto"/>
            </w:tcBorders>
            <w:shd w:val="clear" w:color="auto" w:fill="auto"/>
            <w:noWrap/>
            <w:vAlign w:val="center"/>
            <w:hideMark/>
          </w:tcPr>
          <w:p w14:paraId="70E89938"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142</w:t>
            </w:r>
          </w:p>
        </w:tc>
        <w:tc>
          <w:tcPr>
            <w:tcW w:w="1148" w:type="dxa"/>
            <w:tcBorders>
              <w:top w:val="nil"/>
              <w:left w:val="nil"/>
              <w:bottom w:val="single" w:sz="4" w:space="0" w:color="auto"/>
              <w:right w:val="single" w:sz="4" w:space="0" w:color="auto"/>
            </w:tcBorders>
            <w:shd w:val="clear" w:color="auto" w:fill="auto"/>
            <w:noWrap/>
            <w:vAlign w:val="center"/>
            <w:hideMark/>
          </w:tcPr>
          <w:p w14:paraId="264AF893"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57</w:t>
            </w:r>
          </w:p>
        </w:tc>
      </w:tr>
      <w:tr w:rsidR="00476D60" w:rsidRPr="006D2505" w14:paraId="54D383F2" w14:textId="77777777" w:rsidTr="00F83B44">
        <w:trPr>
          <w:trHeight w:val="26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12D536F6"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Barh</w:t>
            </w:r>
            <w:proofErr w:type="spellEnd"/>
            <w:r w:rsidRPr="006D2505">
              <w:rPr>
                <w:rFonts w:ascii="Calibri" w:hAnsi="Calibri" w:cs="Calibri"/>
                <w:color w:val="000000"/>
                <w:lang w:val="en-GB" w:eastAsia="en-GB"/>
              </w:rPr>
              <w:t xml:space="preserve"> El </w:t>
            </w:r>
            <w:proofErr w:type="spellStart"/>
            <w:r w:rsidRPr="006D2505">
              <w:rPr>
                <w:rFonts w:ascii="Calibri" w:hAnsi="Calibri" w:cs="Calibri"/>
                <w:color w:val="000000"/>
                <w:lang w:val="en-GB" w:eastAsia="en-GB"/>
              </w:rPr>
              <w:t>gazal</w:t>
            </w:r>
            <w:proofErr w:type="spellEnd"/>
          </w:p>
        </w:tc>
        <w:tc>
          <w:tcPr>
            <w:tcW w:w="1985" w:type="dxa"/>
            <w:tcBorders>
              <w:top w:val="nil"/>
              <w:left w:val="nil"/>
              <w:bottom w:val="single" w:sz="4" w:space="0" w:color="auto"/>
              <w:right w:val="single" w:sz="4" w:space="0" w:color="auto"/>
            </w:tcBorders>
            <w:shd w:val="clear" w:color="000000" w:fill="FFFFFF"/>
            <w:noWrap/>
            <w:vAlign w:val="center"/>
            <w:hideMark/>
          </w:tcPr>
          <w:p w14:paraId="18AA3C7C"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Chaddra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5DF0E9A"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18</w:t>
            </w:r>
          </w:p>
        </w:tc>
        <w:tc>
          <w:tcPr>
            <w:tcW w:w="2116" w:type="dxa"/>
            <w:tcBorders>
              <w:top w:val="nil"/>
              <w:left w:val="nil"/>
              <w:bottom w:val="single" w:sz="4" w:space="0" w:color="auto"/>
              <w:right w:val="single" w:sz="4" w:space="0" w:color="auto"/>
            </w:tcBorders>
            <w:shd w:val="clear" w:color="auto" w:fill="auto"/>
            <w:noWrap/>
            <w:vAlign w:val="center"/>
            <w:hideMark/>
          </w:tcPr>
          <w:p w14:paraId="69401491"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6</w:t>
            </w:r>
          </w:p>
        </w:tc>
        <w:tc>
          <w:tcPr>
            <w:tcW w:w="1428" w:type="dxa"/>
            <w:tcBorders>
              <w:top w:val="nil"/>
              <w:left w:val="nil"/>
              <w:bottom w:val="single" w:sz="4" w:space="0" w:color="auto"/>
              <w:right w:val="single" w:sz="4" w:space="0" w:color="auto"/>
            </w:tcBorders>
            <w:shd w:val="clear" w:color="auto" w:fill="auto"/>
            <w:noWrap/>
            <w:vAlign w:val="center"/>
            <w:hideMark/>
          </w:tcPr>
          <w:p w14:paraId="5A61EAB9"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150</w:t>
            </w:r>
          </w:p>
        </w:tc>
        <w:tc>
          <w:tcPr>
            <w:tcW w:w="1148" w:type="dxa"/>
            <w:tcBorders>
              <w:top w:val="nil"/>
              <w:left w:val="nil"/>
              <w:bottom w:val="single" w:sz="4" w:space="0" w:color="auto"/>
              <w:right w:val="single" w:sz="4" w:space="0" w:color="auto"/>
            </w:tcBorders>
            <w:shd w:val="clear" w:color="auto" w:fill="auto"/>
            <w:noWrap/>
            <w:vAlign w:val="center"/>
            <w:hideMark/>
          </w:tcPr>
          <w:p w14:paraId="79769232"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60</w:t>
            </w:r>
          </w:p>
        </w:tc>
      </w:tr>
      <w:tr w:rsidR="00476D60" w:rsidRPr="006D2505" w14:paraId="06C29029" w14:textId="77777777" w:rsidTr="00F83B44">
        <w:trPr>
          <w:trHeight w:val="285"/>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5179B773"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Barh</w:t>
            </w:r>
            <w:proofErr w:type="spellEnd"/>
            <w:r w:rsidRPr="006D2505">
              <w:rPr>
                <w:rFonts w:ascii="Calibri" w:hAnsi="Calibri" w:cs="Calibri"/>
                <w:color w:val="000000"/>
                <w:lang w:val="en-GB" w:eastAsia="en-GB"/>
              </w:rPr>
              <w:t xml:space="preserve"> El </w:t>
            </w:r>
            <w:proofErr w:type="spellStart"/>
            <w:r w:rsidRPr="006D2505">
              <w:rPr>
                <w:rFonts w:ascii="Calibri" w:hAnsi="Calibri" w:cs="Calibri"/>
                <w:color w:val="000000"/>
                <w:lang w:val="en-GB" w:eastAsia="en-GB"/>
              </w:rPr>
              <w:t>gazal</w:t>
            </w:r>
            <w:proofErr w:type="spellEnd"/>
          </w:p>
        </w:tc>
        <w:tc>
          <w:tcPr>
            <w:tcW w:w="1985" w:type="dxa"/>
            <w:tcBorders>
              <w:top w:val="nil"/>
              <w:left w:val="nil"/>
              <w:bottom w:val="single" w:sz="4" w:space="0" w:color="auto"/>
              <w:right w:val="single" w:sz="4" w:space="0" w:color="auto"/>
            </w:tcBorders>
            <w:shd w:val="clear" w:color="000000" w:fill="FFFFFF"/>
            <w:noWrap/>
            <w:vAlign w:val="center"/>
            <w:hideMark/>
          </w:tcPr>
          <w:p w14:paraId="457F9D21"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Michemire</w:t>
            </w:r>
          </w:p>
        </w:tc>
        <w:tc>
          <w:tcPr>
            <w:tcW w:w="1559" w:type="dxa"/>
            <w:tcBorders>
              <w:top w:val="nil"/>
              <w:left w:val="nil"/>
              <w:bottom w:val="single" w:sz="4" w:space="0" w:color="auto"/>
              <w:right w:val="single" w:sz="4" w:space="0" w:color="auto"/>
            </w:tcBorders>
            <w:shd w:val="clear" w:color="auto" w:fill="auto"/>
            <w:noWrap/>
            <w:vAlign w:val="center"/>
            <w:hideMark/>
          </w:tcPr>
          <w:p w14:paraId="4BBBD979"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13</w:t>
            </w:r>
          </w:p>
        </w:tc>
        <w:tc>
          <w:tcPr>
            <w:tcW w:w="2116" w:type="dxa"/>
            <w:tcBorders>
              <w:top w:val="nil"/>
              <w:left w:val="nil"/>
              <w:bottom w:val="single" w:sz="4" w:space="0" w:color="auto"/>
              <w:right w:val="single" w:sz="4" w:space="0" w:color="auto"/>
            </w:tcBorders>
            <w:shd w:val="clear" w:color="auto" w:fill="auto"/>
            <w:noWrap/>
            <w:vAlign w:val="center"/>
            <w:hideMark/>
          </w:tcPr>
          <w:p w14:paraId="0092D2AC"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4</w:t>
            </w:r>
          </w:p>
        </w:tc>
        <w:tc>
          <w:tcPr>
            <w:tcW w:w="1428" w:type="dxa"/>
            <w:tcBorders>
              <w:top w:val="nil"/>
              <w:left w:val="nil"/>
              <w:bottom w:val="single" w:sz="4" w:space="0" w:color="auto"/>
              <w:right w:val="single" w:sz="4" w:space="0" w:color="auto"/>
            </w:tcBorders>
            <w:shd w:val="clear" w:color="auto" w:fill="auto"/>
            <w:noWrap/>
            <w:vAlign w:val="center"/>
            <w:hideMark/>
          </w:tcPr>
          <w:p w14:paraId="1BA8D08D"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108</w:t>
            </w:r>
          </w:p>
        </w:tc>
        <w:tc>
          <w:tcPr>
            <w:tcW w:w="1148" w:type="dxa"/>
            <w:tcBorders>
              <w:top w:val="nil"/>
              <w:left w:val="nil"/>
              <w:bottom w:val="single" w:sz="4" w:space="0" w:color="auto"/>
              <w:right w:val="single" w:sz="4" w:space="0" w:color="auto"/>
            </w:tcBorders>
            <w:shd w:val="clear" w:color="auto" w:fill="auto"/>
            <w:noWrap/>
            <w:vAlign w:val="center"/>
            <w:hideMark/>
          </w:tcPr>
          <w:p w14:paraId="36557050"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43</w:t>
            </w:r>
          </w:p>
        </w:tc>
      </w:tr>
      <w:tr w:rsidR="00476D60" w:rsidRPr="006D2505" w14:paraId="1C41AACF" w14:textId="77777777" w:rsidTr="00F83B44">
        <w:trPr>
          <w:trHeight w:val="262"/>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71211DA7"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Barh</w:t>
            </w:r>
            <w:proofErr w:type="spellEnd"/>
            <w:r w:rsidRPr="006D2505">
              <w:rPr>
                <w:rFonts w:ascii="Calibri" w:hAnsi="Calibri" w:cs="Calibri"/>
                <w:color w:val="000000"/>
                <w:lang w:val="en-GB" w:eastAsia="en-GB"/>
              </w:rPr>
              <w:t xml:space="preserve"> El </w:t>
            </w:r>
            <w:proofErr w:type="spellStart"/>
            <w:r w:rsidRPr="006D2505">
              <w:rPr>
                <w:rFonts w:ascii="Calibri" w:hAnsi="Calibri" w:cs="Calibri"/>
                <w:color w:val="000000"/>
                <w:lang w:val="en-GB" w:eastAsia="en-GB"/>
              </w:rPr>
              <w:t>gazal</w:t>
            </w:r>
            <w:proofErr w:type="spellEnd"/>
          </w:p>
        </w:tc>
        <w:tc>
          <w:tcPr>
            <w:tcW w:w="1985" w:type="dxa"/>
            <w:tcBorders>
              <w:top w:val="nil"/>
              <w:left w:val="nil"/>
              <w:bottom w:val="single" w:sz="4" w:space="0" w:color="auto"/>
              <w:right w:val="single" w:sz="4" w:space="0" w:color="auto"/>
            </w:tcBorders>
            <w:shd w:val="clear" w:color="000000" w:fill="FFFFFF"/>
            <w:noWrap/>
            <w:vAlign w:val="center"/>
            <w:hideMark/>
          </w:tcPr>
          <w:p w14:paraId="1E7B88AE"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Moussoro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4373C2E"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31</w:t>
            </w:r>
          </w:p>
        </w:tc>
        <w:tc>
          <w:tcPr>
            <w:tcW w:w="2116" w:type="dxa"/>
            <w:tcBorders>
              <w:top w:val="nil"/>
              <w:left w:val="nil"/>
              <w:bottom w:val="single" w:sz="4" w:space="0" w:color="auto"/>
              <w:right w:val="single" w:sz="4" w:space="0" w:color="auto"/>
            </w:tcBorders>
            <w:shd w:val="clear" w:color="auto" w:fill="auto"/>
            <w:noWrap/>
            <w:vAlign w:val="center"/>
            <w:hideMark/>
          </w:tcPr>
          <w:p w14:paraId="560C5054"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10</w:t>
            </w:r>
          </w:p>
        </w:tc>
        <w:tc>
          <w:tcPr>
            <w:tcW w:w="1428" w:type="dxa"/>
            <w:tcBorders>
              <w:top w:val="nil"/>
              <w:left w:val="nil"/>
              <w:bottom w:val="single" w:sz="4" w:space="0" w:color="auto"/>
              <w:right w:val="single" w:sz="4" w:space="0" w:color="auto"/>
            </w:tcBorders>
            <w:shd w:val="clear" w:color="auto" w:fill="auto"/>
            <w:noWrap/>
            <w:vAlign w:val="center"/>
            <w:hideMark/>
          </w:tcPr>
          <w:p w14:paraId="31729962"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258</w:t>
            </w:r>
          </w:p>
        </w:tc>
        <w:tc>
          <w:tcPr>
            <w:tcW w:w="1148" w:type="dxa"/>
            <w:tcBorders>
              <w:top w:val="nil"/>
              <w:left w:val="nil"/>
              <w:bottom w:val="single" w:sz="4" w:space="0" w:color="auto"/>
              <w:right w:val="single" w:sz="4" w:space="0" w:color="auto"/>
            </w:tcBorders>
            <w:shd w:val="clear" w:color="auto" w:fill="auto"/>
            <w:noWrap/>
            <w:vAlign w:val="center"/>
            <w:hideMark/>
          </w:tcPr>
          <w:p w14:paraId="1473098A"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103</w:t>
            </w:r>
          </w:p>
        </w:tc>
      </w:tr>
      <w:tr w:rsidR="00476D60" w:rsidRPr="006D2505" w14:paraId="232ACFF9" w14:textId="77777777" w:rsidTr="00F83B44">
        <w:trPr>
          <w:trHeight w:val="269"/>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1E42791B"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Barh</w:t>
            </w:r>
            <w:proofErr w:type="spellEnd"/>
            <w:r w:rsidRPr="006D2505">
              <w:rPr>
                <w:rFonts w:ascii="Calibri" w:hAnsi="Calibri" w:cs="Calibri"/>
                <w:color w:val="000000"/>
                <w:lang w:val="en-GB" w:eastAsia="en-GB"/>
              </w:rPr>
              <w:t xml:space="preserve"> El </w:t>
            </w:r>
            <w:proofErr w:type="spellStart"/>
            <w:r w:rsidRPr="006D2505">
              <w:rPr>
                <w:rFonts w:ascii="Calibri" w:hAnsi="Calibri" w:cs="Calibri"/>
                <w:color w:val="000000"/>
                <w:lang w:val="en-GB" w:eastAsia="en-GB"/>
              </w:rPr>
              <w:t>gazal</w:t>
            </w:r>
            <w:proofErr w:type="spellEnd"/>
          </w:p>
        </w:tc>
        <w:tc>
          <w:tcPr>
            <w:tcW w:w="1985" w:type="dxa"/>
            <w:tcBorders>
              <w:top w:val="nil"/>
              <w:left w:val="nil"/>
              <w:bottom w:val="single" w:sz="4" w:space="0" w:color="auto"/>
              <w:right w:val="single" w:sz="4" w:space="0" w:color="auto"/>
            </w:tcBorders>
            <w:shd w:val="clear" w:color="000000" w:fill="FFFFFF"/>
            <w:noWrap/>
            <w:vAlign w:val="center"/>
            <w:hideMark/>
          </w:tcPr>
          <w:p w14:paraId="772CB33B"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Salal</w:t>
            </w:r>
          </w:p>
        </w:tc>
        <w:tc>
          <w:tcPr>
            <w:tcW w:w="1559" w:type="dxa"/>
            <w:tcBorders>
              <w:top w:val="nil"/>
              <w:left w:val="nil"/>
              <w:bottom w:val="single" w:sz="4" w:space="0" w:color="auto"/>
              <w:right w:val="single" w:sz="4" w:space="0" w:color="auto"/>
            </w:tcBorders>
            <w:shd w:val="clear" w:color="auto" w:fill="auto"/>
            <w:noWrap/>
            <w:vAlign w:val="center"/>
            <w:hideMark/>
          </w:tcPr>
          <w:p w14:paraId="08E4E801"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14</w:t>
            </w:r>
          </w:p>
        </w:tc>
        <w:tc>
          <w:tcPr>
            <w:tcW w:w="2116" w:type="dxa"/>
            <w:tcBorders>
              <w:top w:val="nil"/>
              <w:left w:val="nil"/>
              <w:bottom w:val="single" w:sz="4" w:space="0" w:color="auto"/>
              <w:right w:val="single" w:sz="4" w:space="0" w:color="auto"/>
            </w:tcBorders>
            <w:shd w:val="clear" w:color="auto" w:fill="auto"/>
            <w:noWrap/>
            <w:vAlign w:val="center"/>
            <w:hideMark/>
          </w:tcPr>
          <w:p w14:paraId="50A534B8"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5</w:t>
            </w:r>
          </w:p>
        </w:tc>
        <w:tc>
          <w:tcPr>
            <w:tcW w:w="1428" w:type="dxa"/>
            <w:tcBorders>
              <w:top w:val="nil"/>
              <w:left w:val="nil"/>
              <w:bottom w:val="single" w:sz="4" w:space="0" w:color="auto"/>
              <w:right w:val="single" w:sz="4" w:space="0" w:color="auto"/>
            </w:tcBorders>
            <w:shd w:val="clear" w:color="auto" w:fill="auto"/>
            <w:noWrap/>
            <w:vAlign w:val="center"/>
            <w:hideMark/>
          </w:tcPr>
          <w:p w14:paraId="6CE4662F"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117</w:t>
            </w:r>
          </w:p>
        </w:tc>
        <w:tc>
          <w:tcPr>
            <w:tcW w:w="1148" w:type="dxa"/>
            <w:tcBorders>
              <w:top w:val="nil"/>
              <w:left w:val="nil"/>
              <w:bottom w:val="single" w:sz="4" w:space="0" w:color="auto"/>
              <w:right w:val="single" w:sz="4" w:space="0" w:color="auto"/>
            </w:tcBorders>
            <w:shd w:val="clear" w:color="auto" w:fill="auto"/>
            <w:noWrap/>
            <w:vAlign w:val="center"/>
            <w:hideMark/>
          </w:tcPr>
          <w:p w14:paraId="11311622"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47</w:t>
            </w:r>
          </w:p>
        </w:tc>
      </w:tr>
      <w:tr w:rsidR="00476D60" w:rsidRPr="006D2505" w14:paraId="59C08B7D" w14:textId="77777777" w:rsidTr="00F83B44">
        <w:trPr>
          <w:trHeight w:val="261"/>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3C795115" w14:textId="77777777" w:rsidR="00476D60" w:rsidRPr="006D2505" w:rsidRDefault="00476D60" w:rsidP="00F83B44">
            <w:pPr>
              <w:rPr>
                <w:rFonts w:ascii="Calibri" w:hAnsi="Calibri" w:cs="Calibri"/>
                <w:color w:val="000000"/>
                <w:lang w:val="en-GB" w:eastAsia="en-GB"/>
              </w:rPr>
            </w:pPr>
            <w:proofErr w:type="spellStart"/>
            <w:r w:rsidRPr="006D2505">
              <w:rPr>
                <w:rFonts w:ascii="Calibri" w:hAnsi="Calibri" w:cs="Calibri"/>
                <w:color w:val="000000"/>
                <w:lang w:val="en-GB" w:eastAsia="en-GB"/>
              </w:rPr>
              <w:t>Batha</w:t>
            </w:r>
            <w:proofErr w:type="spellEnd"/>
          </w:p>
        </w:tc>
        <w:tc>
          <w:tcPr>
            <w:tcW w:w="1985" w:type="dxa"/>
            <w:tcBorders>
              <w:top w:val="nil"/>
              <w:left w:val="nil"/>
              <w:bottom w:val="single" w:sz="4" w:space="0" w:color="auto"/>
              <w:right w:val="single" w:sz="4" w:space="0" w:color="auto"/>
            </w:tcBorders>
            <w:shd w:val="clear" w:color="000000" w:fill="FFFFFF"/>
            <w:noWrap/>
            <w:vAlign w:val="center"/>
            <w:hideMark/>
          </w:tcPr>
          <w:p w14:paraId="1528735D" w14:textId="77777777" w:rsidR="00476D60" w:rsidRPr="006D2505" w:rsidRDefault="00476D60" w:rsidP="00F83B44">
            <w:pPr>
              <w:rPr>
                <w:rFonts w:ascii="Calibri" w:hAnsi="Calibri" w:cs="Calibri"/>
                <w:color w:val="000000"/>
                <w:lang w:val="en-GB" w:eastAsia="en-GB"/>
              </w:rPr>
            </w:pPr>
            <w:r w:rsidRPr="006D2505">
              <w:rPr>
                <w:rFonts w:ascii="Calibri" w:hAnsi="Calibri" w:cs="Calibri"/>
                <w:color w:val="000000"/>
                <w:lang w:val="en-GB" w:eastAsia="en-GB"/>
              </w:rPr>
              <w:t>Yao</w:t>
            </w:r>
          </w:p>
        </w:tc>
        <w:tc>
          <w:tcPr>
            <w:tcW w:w="1559" w:type="dxa"/>
            <w:tcBorders>
              <w:top w:val="nil"/>
              <w:left w:val="nil"/>
              <w:bottom w:val="single" w:sz="4" w:space="0" w:color="auto"/>
              <w:right w:val="single" w:sz="4" w:space="0" w:color="auto"/>
            </w:tcBorders>
            <w:shd w:val="clear" w:color="auto" w:fill="auto"/>
            <w:noWrap/>
            <w:vAlign w:val="center"/>
            <w:hideMark/>
          </w:tcPr>
          <w:p w14:paraId="4BDE7D5E"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18</w:t>
            </w:r>
          </w:p>
        </w:tc>
        <w:tc>
          <w:tcPr>
            <w:tcW w:w="2116" w:type="dxa"/>
            <w:tcBorders>
              <w:top w:val="nil"/>
              <w:left w:val="nil"/>
              <w:bottom w:val="single" w:sz="4" w:space="0" w:color="auto"/>
              <w:right w:val="single" w:sz="4" w:space="0" w:color="auto"/>
            </w:tcBorders>
            <w:shd w:val="clear" w:color="auto" w:fill="auto"/>
            <w:noWrap/>
            <w:vAlign w:val="center"/>
            <w:hideMark/>
          </w:tcPr>
          <w:p w14:paraId="317C5D09"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6</w:t>
            </w:r>
          </w:p>
        </w:tc>
        <w:tc>
          <w:tcPr>
            <w:tcW w:w="1428" w:type="dxa"/>
            <w:tcBorders>
              <w:top w:val="nil"/>
              <w:left w:val="nil"/>
              <w:bottom w:val="single" w:sz="4" w:space="0" w:color="auto"/>
              <w:right w:val="single" w:sz="4" w:space="0" w:color="auto"/>
            </w:tcBorders>
            <w:shd w:val="clear" w:color="auto" w:fill="auto"/>
            <w:noWrap/>
            <w:vAlign w:val="center"/>
            <w:hideMark/>
          </w:tcPr>
          <w:p w14:paraId="0B09EC9A"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150</w:t>
            </w:r>
          </w:p>
        </w:tc>
        <w:tc>
          <w:tcPr>
            <w:tcW w:w="1148" w:type="dxa"/>
            <w:tcBorders>
              <w:top w:val="nil"/>
              <w:left w:val="nil"/>
              <w:bottom w:val="single" w:sz="4" w:space="0" w:color="auto"/>
              <w:right w:val="single" w:sz="4" w:space="0" w:color="auto"/>
            </w:tcBorders>
            <w:shd w:val="clear" w:color="auto" w:fill="auto"/>
            <w:noWrap/>
            <w:vAlign w:val="center"/>
            <w:hideMark/>
          </w:tcPr>
          <w:p w14:paraId="16C68A9E" w14:textId="77777777" w:rsidR="00476D60" w:rsidRPr="006D2505" w:rsidRDefault="00476D60" w:rsidP="00F83B44">
            <w:pPr>
              <w:jc w:val="center"/>
              <w:rPr>
                <w:rFonts w:ascii="Calibri" w:hAnsi="Calibri" w:cs="Calibri"/>
                <w:color w:val="000000"/>
                <w:lang w:val="en-GB" w:eastAsia="en-GB"/>
              </w:rPr>
            </w:pPr>
            <w:r w:rsidRPr="006D2505">
              <w:rPr>
                <w:rFonts w:ascii="Calibri" w:hAnsi="Calibri" w:cs="Calibri"/>
                <w:color w:val="000000"/>
                <w:lang w:val="en-GB" w:eastAsia="en-GB"/>
              </w:rPr>
              <w:t>60</w:t>
            </w:r>
          </w:p>
        </w:tc>
      </w:tr>
      <w:tr w:rsidR="00476D60" w:rsidRPr="006D2505" w14:paraId="2A750824" w14:textId="77777777" w:rsidTr="00F83B44">
        <w:trPr>
          <w:trHeight w:val="126"/>
        </w:trPr>
        <w:tc>
          <w:tcPr>
            <w:tcW w:w="1838" w:type="dxa"/>
            <w:tcBorders>
              <w:top w:val="nil"/>
              <w:left w:val="single" w:sz="4" w:space="0" w:color="auto"/>
              <w:bottom w:val="single" w:sz="4" w:space="0" w:color="auto"/>
              <w:right w:val="single" w:sz="4" w:space="0" w:color="auto"/>
            </w:tcBorders>
            <w:shd w:val="clear" w:color="000000" w:fill="92D050"/>
            <w:noWrap/>
            <w:vAlign w:val="center"/>
            <w:hideMark/>
          </w:tcPr>
          <w:p w14:paraId="4AB42E2D" w14:textId="77777777" w:rsidR="00476D60" w:rsidRPr="006D2505" w:rsidRDefault="00476D60" w:rsidP="00F83B44">
            <w:pPr>
              <w:rPr>
                <w:rFonts w:ascii="Calibri" w:hAnsi="Calibri" w:cs="Calibri"/>
                <w:b/>
                <w:bCs/>
                <w:lang w:val="en-GB" w:eastAsia="en-GB"/>
              </w:rPr>
            </w:pPr>
            <w:r w:rsidRPr="006D2505">
              <w:rPr>
                <w:rFonts w:ascii="Calibri" w:hAnsi="Calibri" w:cs="Calibri"/>
                <w:b/>
                <w:bCs/>
                <w:lang w:val="en-GB" w:eastAsia="en-GB"/>
              </w:rPr>
              <w:t>Total</w:t>
            </w:r>
          </w:p>
        </w:tc>
        <w:tc>
          <w:tcPr>
            <w:tcW w:w="1985" w:type="dxa"/>
            <w:tcBorders>
              <w:top w:val="nil"/>
              <w:left w:val="nil"/>
              <w:bottom w:val="single" w:sz="4" w:space="0" w:color="auto"/>
              <w:right w:val="single" w:sz="4" w:space="0" w:color="auto"/>
            </w:tcBorders>
            <w:shd w:val="clear" w:color="000000" w:fill="92D050"/>
            <w:noWrap/>
            <w:vAlign w:val="bottom"/>
            <w:hideMark/>
          </w:tcPr>
          <w:p w14:paraId="7D5C402C" w14:textId="77777777" w:rsidR="00476D60" w:rsidRPr="006D2505" w:rsidRDefault="00476D60" w:rsidP="00F83B44">
            <w:pPr>
              <w:rPr>
                <w:rFonts w:ascii="Calibri" w:hAnsi="Calibri" w:cs="Calibri"/>
                <w:b/>
                <w:bCs/>
                <w:lang w:val="en-GB" w:eastAsia="en-GB"/>
              </w:rPr>
            </w:pPr>
            <w:r w:rsidRPr="006D2505">
              <w:rPr>
                <w:rFonts w:ascii="Calibri" w:hAnsi="Calibri" w:cs="Calibri"/>
                <w:b/>
                <w:bCs/>
                <w:lang w:val="en-GB" w:eastAsia="en-GB"/>
              </w:rPr>
              <w:t> </w:t>
            </w:r>
          </w:p>
        </w:tc>
        <w:tc>
          <w:tcPr>
            <w:tcW w:w="1559" w:type="dxa"/>
            <w:tcBorders>
              <w:top w:val="nil"/>
              <w:left w:val="nil"/>
              <w:bottom w:val="single" w:sz="4" w:space="0" w:color="auto"/>
              <w:right w:val="single" w:sz="4" w:space="0" w:color="auto"/>
            </w:tcBorders>
            <w:shd w:val="clear" w:color="000000" w:fill="92D050"/>
            <w:noWrap/>
            <w:vAlign w:val="center"/>
            <w:hideMark/>
          </w:tcPr>
          <w:p w14:paraId="5716D14B" w14:textId="77777777" w:rsidR="00476D60" w:rsidRPr="006D2505" w:rsidRDefault="00476D60" w:rsidP="00F83B44">
            <w:pPr>
              <w:jc w:val="center"/>
              <w:rPr>
                <w:rFonts w:ascii="Calibri" w:hAnsi="Calibri" w:cs="Calibri"/>
                <w:b/>
                <w:bCs/>
                <w:lang w:val="en-GB" w:eastAsia="en-GB"/>
              </w:rPr>
            </w:pPr>
            <w:r w:rsidRPr="006D2505">
              <w:rPr>
                <w:rFonts w:ascii="Calibri" w:hAnsi="Calibri" w:cs="Calibri"/>
                <w:b/>
                <w:bCs/>
                <w:lang w:val="en-GB" w:eastAsia="en-GB"/>
              </w:rPr>
              <w:t>435</w:t>
            </w:r>
          </w:p>
        </w:tc>
        <w:tc>
          <w:tcPr>
            <w:tcW w:w="2116" w:type="dxa"/>
            <w:tcBorders>
              <w:top w:val="nil"/>
              <w:left w:val="nil"/>
              <w:bottom w:val="single" w:sz="4" w:space="0" w:color="auto"/>
              <w:right w:val="single" w:sz="4" w:space="0" w:color="auto"/>
            </w:tcBorders>
            <w:shd w:val="clear" w:color="000000" w:fill="92D050"/>
            <w:noWrap/>
            <w:vAlign w:val="center"/>
            <w:hideMark/>
          </w:tcPr>
          <w:p w14:paraId="21680716" w14:textId="77777777" w:rsidR="00476D60" w:rsidRPr="006D2505" w:rsidRDefault="00476D60" w:rsidP="00F83B44">
            <w:pPr>
              <w:jc w:val="center"/>
              <w:rPr>
                <w:rFonts w:ascii="Calibri" w:hAnsi="Calibri" w:cs="Calibri"/>
                <w:b/>
                <w:bCs/>
                <w:lang w:val="en-GB" w:eastAsia="en-GB"/>
              </w:rPr>
            </w:pPr>
            <w:r w:rsidRPr="006D2505">
              <w:rPr>
                <w:rFonts w:ascii="Calibri" w:hAnsi="Calibri" w:cs="Calibri"/>
                <w:b/>
                <w:bCs/>
                <w:lang w:val="en-GB" w:eastAsia="en-GB"/>
              </w:rPr>
              <w:t>145</w:t>
            </w:r>
          </w:p>
        </w:tc>
        <w:tc>
          <w:tcPr>
            <w:tcW w:w="1428" w:type="dxa"/>
            <w:tcBorders>
              <w:top w:val="nil"/>
              <w:left w:val="nil"/>
              <w:bottom w:val="single" w:sz="4" w:space="0" w:color="auto"/>
              <w:right w:val="single" w:sz="4" w:space="0" w:color="auto"/>
            </w:tcBorders>
            <w:shd w:val="clear" w:color="000000" w:fill="92D050"/>
            <w:noWrap/>
            <w:vAlign w:val="center"/>
            <w:hideMark/>
          </w:tcPr>
          <w:p w14:paraId="2EE48C7E" w14:textId="77777777" w:rsidR="00476D60" w:rsidRPr="006D2505" w:rsidRDefault="00476D60" w:rsidP="00F83B44">
            <w:pPr>
              <w:jc w:val="center"/>
              <w:rPr>
                <w:rFonts w:ascii="Calibri" w:hAnsi="Calibri" w:cs="Calibri"/>
                <w:b/>
                <w:bCs/>
                <w:lang w:val="en-GB" w:eastAsia="en-GB"/>
              </w:rPr>
            </w:pPr>
            <w:r w:rsidRPr="006D2505">
              <w:rPr>
                <w:rFonts w:ascii="Calibri" w:hAnsi="Calibri" w:cs="Calibri"/>
                <w:b/>
                <w:bCs/>
                <w:lang w:val="en-GB" w:eastAsia="en-GB"/>
              </w:rPr>
              <w:t xml:space="preserve">3 625   </w:t>
            </w:r>
          </w:p>
        </w:tc>
        <w:tc>
          <w:tcPr>
            <w:tcW w:w="1148" w:type="dxa"/>
            <w:tcBorders>
              <w:top w:val="nil"/>
              <w:left w:val="nil"/>
              <w:bottom w:val="single" w:sz="4" w:space="0" w:color="auto"/>
              <w:right w:val="single" w:sz="4" w:space="0" w:color="auto"/>
            </w:tcBorders>
            <w:shd w:val="clear" w:color="000000" w:fill="92D050"/>
            <w:noWrap/>
            <w:vAlign w:val="center"/>
            <w:hideMark/>
          </w:tcPr>
          <w:p w14:paraId="10EE8BC7" w14:textId="77777777" w:rsidR="00476D60" w:rsidRPr="006D2505" w:rsidRDefault="00476D60" w:rsidP="00F83B44">
            <w:pPr>
              <w:jc w:val="center"/>
              <w:rPr>
                <w:rFonts w:ascii="Calibri" w:hAnsi="Calibri" w:cs="Calibri"/>
                <w:b/>
                <w:bCs/>
                <w:lang w:val="en-GB" w:eastAsia="en-GB"/>
              </w:rPr>
            </w:pPr>
            <w:r w:rsidRPr="006D2505">
              <w:rPr>
                <w:rFonts w:ascii="Calibri" w:hAnsi="Calibri" w:cs="Calibri"/>
                <w:b/>
                <w:bCs/>
                <w:lang w:val="en-GB" w:eastAsia="en-GB"/>
              </w:rPr>
              <w:t xml:space="preserve">1 450   </w:t>
            </w:r>
          </w:p>
        </w:tc>
      </w:tr>
    </w:tbl>
    <w:p w14:paraId="66C6256B" w14:textId="77777777" w:rsidR="00476D60" w:rsidRDefault="00476D60" w:rsidP="00476D60">
      <w:pPr>
        <w:spacing w:after="120" w:line="276" w:lineRule="auto"/>
        <w:jc w:val="both"/>
        <w:rPr>
          <w:rFonts w:ascii="Candara" w:hAnsi="Candara" w:cs="Arial"/>
          <w:sz w:val="24"/>
          <w:szCs w:val="24"/>
          <w:lang w:val="fr-FR"/>
        </w:rPr>
      </w:pPr>
    </w:p>
    <w:p w14:paraId="5A9659A1" w14:textId="77777777" w:rsidR="00476D60" w:rsidRPr="00F544E6" w:rsidRDefault="00476D60" w:rsidP="00476D60">
      <w:pPr>
        <w:spacing w:after="120" w:line="276" w:lineRule="auto"/>
        <w:jc w:val="both"/>
        <w:rPr>
          <w:rFonts w:ascii="Candara" w:hAnsi="Candara" w:cs="Arial"/>
          <w:lang w:val="fr-FR"/>
        </w:rPr>
      </w:pPr>
      <w:r w:rsidRPr="00F544E6">
        <w:rPr>
          <w:rFonts w:ascii="Candara" w:hAnsi="Candara" w:cs="Arial"/>
          <w:lang w:val="fr-FR"/>
        </w:rPr>
        <w:t xml:space="preserve">6) Dans chacune des zones de supervision, </w:t>
      </w:r>
      <w:r>
        <w:rPr>
          <w:rFonts w:ascii="Candara" w:hAnsi="Candara" w:cs="Arial"/>
          <w:lang w:val="fr-FR"/>
        </w:rPr>
        <w:t>10</w:t>
      </w:r>
      <w:r w:rsidRPr="00F544E6">
        <w:rPr>
          <w:rFonts w:ascii="Candara" w:hAnsi="Candara" w:cs="Arial"/>
          <w:lang w:val="fr-FR"/>
        </w:rPr>
        <w:t xml:space="preserve"> villages/quartiers/</w:t>
      </w:r>
      <w:proofErr w:type="spellStart"/>
      <w:r w:rsidRPr="00F544E6">
        <w:rPr>
          <w:rFonts w:ascii="Candara" w:hAnsi="Candara" w:cs="Arial"/>
          <w:lang w:val="fr-FR"/>
        </w:rPr>
        <w:t>ferricks</w:t>
      </w:r>
      <w:proofErr w:type="spellEnd"/>
      <w:r w:rsidRPr="00F544E6">
        <w:rPr>
          <w:rFonts w:ascii="Candara" w:hAnsi="Candara" w:cs="Arial"/>
          <w:lang w:val="fr-FR"/>
        </w:rPr>
        <w:t xml:space="preserve"> vont être sélectionné aléatoirement, et au sein de chaque village/quartier/</w:t>
      </w:r>
      <w:proofErr w:type="spellStart"/>
      <w:r w:rsidRPr="00F544E6">
        <w:rPr>
          <w:rFonts w:ascii="Candara" w:hAnsi="Candara" w:cs="Arial"/>
          <w:lang w:val="fr-FR"/>
        </w:rPr>
        <w:t>ferrick</w:t>
      </w:r>
      <w:proofErr w:type="spellEnd"/>
      <w:r w:rsidRPr="00F544E6">
        <w:rPr>
          <w:rFonts w:ascii="Candara" w:hAnsi="Candara" w:cs="Arial"/>
          <w:lang w:val="fr-FR"/>
        </w:rPr>
        <w:t xml:space="preserve">, 3 ménages vont aussi être sélectionnés aléatoirement pendant l’enquête (Reference au protocole de Malaria Consortium pour le choix pour la définition des ZS et de la taille des Ménages). </w:t>
      </w:r>
    </w:p>
    <w:p w14:paraId="54F95492" w14:textId="77777777" w:rsidR="00476D60" w:rsidRPr="00F544E6" w:rsidRDefault="00476D60" w:rsidP="00476D60">
      <w:pPr>
        <w:spacing w:after="120" w:line="276" w:lineRule="auto"/>
        <w:jc w:val="both"/>
        <w:rPr>
          <w:rFonts w:ascii="Candara" w:hAnsi="Candara" w:cs="Arial"/>
          <w:lang w:val="fr-FR"/>
        </w:rPr>
      </w:pPr>
      <w:r w:rsidRPr="00F544E6">
        <w:rPr>
          <w:rFonts w:ascii="Candara" w:hAnsi="Candara" w:cs="Arial"/>
          <w:lang w:val="fr-FR"/>
        </w:rPr>
        <w:t>7) Au Tchad comme dans les zones sahéliennes de l’Afrique de l’Ouest, les ménages individuels sont rarement considérés comme des structures autonomes. En raison de la complexité des structures familiales (par exemple, polygamie) et des facteurs socio-économiques, les ménages vivent généralement en agglomération à l'intérieur d’une concession. Concrètement, cela signifie que lorsqu'une équipe d'intervieweurs frappe à une seule porte, elle trouvera très probablement un nombre variable de ménages, et par conséquent plusieurs gardiennes d’enfants et leurs enfants.</w:t>
      </w:r>
    </w:p>
    <w:p w14:paraId="7C2E5222" w14:textId="77777777" w:rsidR="00476D60" w:rsidRPr="00F544E6" w:rsidRDefault="00476D60" w:rsidP="00476D60">
      <w:pPr>
        <w:spacing w:after="120" w:line="276" w:lineRule="auto"/>
        <w:jc w:val="both"/>
        <w:rPr>
          <w:rFonts w:ascii="Candara" w:hAnsi="Candara" w:cs="Arial"/>
          <w:lang w:val="fr-FR"/>
        </w:rPr>
      </w:pPr>
      <w:r w:rsidRPr="00F544E6">
        <w:rPr>
          <w:rFonts w:ascii="Candara" w:hAnsi="Candara" w:cs="Arial"/>
          <w:lang w:val="fr-FR"/>
        </w:rPr>
        <w:t xml:space="preserve">Pour répondre aux besoins de cette enquête sur la couverture, </w:t>
      </w:r>
      <w:r w:rsidRPr="00F544E6">
        <w:rPr>
          <w:rFonts w:ascii="Candara" w:hAnsi="Candara" w:cs="Arial"/>
          <w:i/>
          <w:lang w:val="fr-FR"/>
        </w:rPr>
        <w:t>l'unité d'analyse est définie comme une seule personne responsable des soins de l'enfant qui parle de tous ses enfants</w:t>
      </w:r>
      <w:r w:rsidRPr="00F544E6">
        <w:rPr>
          <w:rFonts w:ascii="Candara" w:hAnsi="Candara" w:cs="Arial"/>
          <w:lang w:val="fr-FR"/>
        </w:rPr>
        <w:t>.</w:t>
      </w:r>
    </w:p>
    <w:p w14:paraId="1811CE2D" w14:textId="77777777" w:rsidR="00476D60" w:rsidRPr="00F544E6" w:rsidRDefault="00476D60" w:rsidP="00476D60">
      <w:pPr>
        <w:autoSpaceDE w:val="0"/>
        <w:autoSpaceDN w:val="0"/>
        <w:adjustRightInd w:val="0"/>
        <w:spacing w:line="276" w:lineRule="auto"/>
        <w:jc w:val="both"/>
        <w:rPr>
          <w:rFonts w:ascii="Candara" w:hAnsi="Candara" w:cs="Arial"/>
          <w:bCs/>
          <w:lang w:val="fr-FR"/>
        </w:rPr>
      </w:pPr>
    </w:p>
    <w:p w14:paraId="7E1F5682" w14:textId="77777777" w:rsidR="00476D60" w:rsidRPr="00F544E6" w:rsidRDefault="00476D60" w:rsidP="00476D60">
      <w:pPr>
        <w:autoSpaceDE w:val="0"/>
        <w:autoSpaceDN w:val="0"/>
        <w:adjustRightInd w:val="0"/>
        <w:spacing w:line="276" w:lineRule="auto"/>
        <w:jc w:val="both"/>
        <w:rPr>
          <w:rFonts w:ascii="Candara" w:hAnsi="Candara" w:cs="Arial"/>
          <w:bCs/>
          <w:lang w:val="fr-FR"/>
        </w:rPr>
      </w:pPr>
      <w:r w:rsidRPr="00F544E6">
        <w:rPr>
          <w:rFonts w:ascii="Candara" w:hAnsi="Candara" w:cs="Arial"/>
          <w:bCs/>
          <w:lang w:val="fr-FR"/>
        </w:rPr>
        <w:lastRenderedPageBreak/>
        <w:t>Indicateurs de l’enquête de couverture (en gras, les indicateurs prioritaires à inclure dans le rapport préliminaire</w:t>
      </w:r>
      <w:r w:rsidRPr="00F544E6">
        <w:rPr>
          <w:rFonts w:ascii="Candara" w:hAnsi="Candara" w:cs="Arial"/>
          <w:bCs/>
          <w:i/>
          <w:lang w:val="fr-FR"/>
        </w:rPr>
        <w:t>)</w:t>
      </w:r>
      <w:r w:rsidRPr="00F544E6">
        <w:rPr>
          <w:rFonts w:ascii="Candara" w:hAnsi="Candara" w:cs="Arial"/>
          <w:bCs/>
          <w:lang w:val="fr-FR"/>
        </w:rPr>
        <w:t> :</w:t>
      </w:r>
    </w:p>
    <w:p w14:paraId="1346A1FB" w14:textId="77777777" w:rsidR="00476D60" w:rsidRPr="00F544E6" w:rsidRDefault="00476D60" w:rsidP="00476D60">
      <w:pPr>
        <w:autoSpaceDE w:val="0"/>
        <w:autoSpaceDN w:val="0"/>
        <w:adjustRightInd w:val="0"/>
        <w:spacing w:line="276" w:lineRule="auto"/>
        <w:jc w:val="both"/>
        <w:rPr>
          <w:rFonts w:ascii="Candara" w:hAnsi="Candara" w:cs="Arial"/>
          <w:b/>
          <w:bCs/>
          <w:lang w:val="fr-FR"/>
        </w:rPr>
      </w:pPr>
    </w:p>
    <w:p w14:paraId="17C0CB44" w14:textId="77777777" w:rsidR="00476D60" w:rsidRPr="00F544E6" w:rsidRDefault="00476D60" w:rsidP="00476D60">
      <w:pPr>
        <w:spacing w:line="276" w:lineRule="auto"/>
        <w:jc w:val="both"/>
        <w:rPr>
          <w:rFonts w:asciiTheme="majorHAnsi" w:hAnsiTheme="majorHAnsi" w:cstheme="majorHAnsi"/>
          <w:lang w:val="fr-FR"/>
        </w:rPr>
      </w:pPr>
      <w:r w:rsidRPr="00F544E6">
        <w:rPr>
          <w:rFonts w:asciiTheme="majorHAnsi" w:hAnsiTheme="majorHAnsi" w:cstheme="majorHAnsi"/>
          <w:lang w:val="fr-FR"/>
        </w:rPr>
        <w:t xml:space="preserve">Conformément à la structuration du questionnaire, les indicateurs calculés seront stratifiés selon les variables disponibles (genre, milieu, âge, etc.). </w:t>
      </w:r>
    </w:p>
    <w:p w14:paraId="5A42A234" w14:textId="77777777" w:rsidR="00476D60" w:rsidRPr="00F544E6" w:rsidRDefault="00476D60" w:rsidP="00476D60">
      <w:pPr>
        <w:spacing w:line="276" w:lineRule="auto"/>
        <w:jc w:val="both"/>
        <w:rPr>
          <w:rFonts w:asciiTheme="majorHAnsi" w:hAnsiTheme="majorHAnsi" w:cstheme="majorHAnsi"/>
          <w:lang w:val="fr-FR"/>
        </w:rPr>
      </w:pPr>
    </w:p>
    <w:p w14:paraId="49558F10" w14:textId="77777777" w:rsidR="00476D60" w:rsidRPr="00257D0C" w:rsidRDefault="00476D60" w:rsidP="00476D60">
      <w:pPr>
        <w:spacing w:line="276" w:lineRule="auto"/>
        <w:jc w:val="both"/>
        <w:rPr>
          <w:rFonts w:asciiTheme="majorHAnsi" w:eastAsiaTheme="majorEastAsia" w:hAnsiTheme="majorHAnsi" w:cstheme="majorHAnsi"/>
          <w:lang w:val="fr-FR"/>
        </w:rPr>
      </w:pPr>
      <w:r w:rsidRPr="00257D0C">
        <w:rPr>
          <w:rFonts w:asciiTheme="majorHAnsi" w:eastAsiaTheme="majorEastAsia" w:hAnsiTheme="majorHAnsi" w:cstheme="majorHAnsi"/>
          <w:lang w:val="fr-FR"/>
        </w:rPr>
        <w:t>Les principaux indicateurs retenus sont :</w:t>
      </w:r>
    </w:p>
    <w:p w14:paraId="725E4169" w14:textId="77777777" w:rsidR="00476D60" w:rsidRPr="00456312" w:rsidRDefault="00476D60" w:rsidP="00476D60">
      <w:pPr>
        <w:pStyle w:val="ListParagraph"/>
        <w:numPr>
          <w:ilvl w:val="0"/>
          <w:numId w:val="29"/>
        </w:numPr>
        <w:spacing w:line="276" w:lineRule="auto"/>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Taux de couverture d’enfant = nombre d’enfants traités au jour 1 / nombre total d’enfants identifiés ;</w:t>
      </w:r>
    </w:p>
    <w:p w14:paraId="250048DD" w14:textId="77777777" w:rsidR="00476D60" w:rsidRPr="00456312" w:rsidRDefault="00476D60" w:rsidP="00476D60">
      <w:pPr>
        <w:pStyle w:val="ListParagraph"/>
        <w:numPr>
          <w:ilvl w:val="0"/>
          <w:numId w:val="29"/>
        </w:numPr>
        <w:spacing w:line="276" w:lineRule="auto"/>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Taux de couverture ménage = nombre de ménages avec au moins un enfant traité / nombre total de ménages identifiés ;</w:t>
      </w:r>
    </w:p>
    <w:p w14:paraId="16F81989" w14:textId="77777777" w:rsidR="00476D60" w:rsidRPr="00456312" w:rsidRDefault="00476D60" w:rsidP="00476D60">
      <w:pPr>
        <w:pStyle w:val="ListParagraph"/>
        <w:numPr>
          <w:ilvl w:val="0"/>
          <w:numId w:val="29"/>
        </w:numPr>
        <w:spacing w:line="276" w:lineRule="auto"/>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Proportion d’enfant d’enfants éligibles ayant reçu les 3 jours de traitement = nombre d’enfants éligibles ayant reçu les traitements de jours 1, 2 et 3 / nombre total d’enfants éligibles ayant reçu le traitement du jour 1 identifiés ;</w:t>
      </w:r>
    </w:p>
    <w:p w14:paraId="46F848AD" w14:textId="77777777" w:rsidR="00476D60" w:rsidRPr="00456312" w:rsidRDefault="00476D60" w:rsidP="00476D60">
      <w:pPr>
        <w:pStyle w:val="ListParagraph"/>
        <w:numPr>
          <w:ilvl w:val="0"/>
          <w:numId w:val="29"/>
        </w:numPr>
        <w:spacing w:line="276" w:lineRule="auto"/>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Pourcentage d’enfants traités par la DOT ;</w:t>
      </w:r>
    </w:p>
    <w:p w14:paraId="3E08FF9F" w14:textId="77777777" w:rsidR="00476D60" w:rsidRPr="00456312" w:rsidRDefault="00476D60" w:rsidP="00476D60">
      <w:pPr>
        <w:pStyle w:val="ListParagraph"/>
        <w:numPr>
          <w:ilvl w:val="0"/>
          <w:numId w:val="29"/>
        </w:numPr>
        <w:spacing w:line="276" w:lineRule="auto"/>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Pourcentage d’enfants éligibles possédant une carte CPS ;</w:t>
      </w:r>
    </w:p>
    <w:p w14:paraId="7A434A61" w14:textId="77777777" w:rsidR="00476D60" w:rsidRPr="00456312" w:rsidRDefault="00476D60" w:rsidP="00476D60">
      <w:pPr>
        <w:pStyle w:val="ListParagraph"/>
        <w:numPr>
          <w:ilvl w:val="0"/>
          <w:numId w:val="29"/>
        </w:numPr>
        <w:spacing w:line="276" w:lineRule="auto"/>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Pourcentage d’enfants éligibles avec une carte contenant les 3 jours de traitement/ nombre total d’enfants éligibles ayant une carte identifiée ;</w:t>
      </w:r>
    </w:p>
    <w:p w14:paraId="0289605B" w14:textId="77777777" w:rsidR="00476D60" w:rsidRPr="00456312" w:rsidRDefault="00476D60" w:rsidP="00476D60">
      <w:pPr>
        <w:pStyle w:val="ListParagraph"/>
        <w:numPr>
          <w:ilvl w:val="0"/>
          <w:numId w:val="29"/>
        </w:numPr>
        <w:spacing w:line="276" w:lineRule="auto"/>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Pourcentage des gardiennes acceptant la CPS = nombre d’enfants éligibles ayant reçu la CPS / nombre total d’enfants éligibles identifiés aléatoirement ;</w:t>
      </w:r>
    </w:p>
    <w:p w14:paraId="6B4232EF" w14:textId="77777777" w:rsidR="00476D60" w:rsidRPr="00456312" w:rsidRDefault="00476D60" w:rsidP="00476D60">
      <w:pPr>
        <w:pStyle w:val="ListParagraph"/>
        <w:numPr>
          <w:ilvl w:val="0"/>
          <w:numId w:val="29"/>
        </w:numPr>
        <w:spacing w:line="276" w:lineRule="auto"/>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Proportion des gardiennes d’enfants ayant entendu parler de la CPS ;</w:t>
      </w:r>
    </w:p>
    <w:p w14:paraId="65A8FDA6" w14:textId="77777777" w:rsidR="00476D60" w:rsidRPr="00456312" w:rsidRDefault="00476D60" w:rsidP="00476D60">
      <w:pPr>
        <w:pStyle w:val="ListParagraph"/>
        <w:numPr>
          <w:ilvl w:val="0"/>
          <w:numId w:val="29"/>
        </w:numPr>
        <w:spacing w:line="276" w:lineRule="auto"/>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Pourcentage des gardiennes ayant une bonne connaissance du but de la CPS ;</w:t>
      </w:r>
    </w:p>
    <w:p w14:paraId="1F17BFC5" w14:textId="77777777" w:rsidR="00476D60" w:rsidRPr="00456312" w:rsidRDefault="00476D60" w:rsidP="00476D60">
      <w:pPr>
        <w:pStyle w:val="ListParagraph"/>
        <w:numPr>
          <w:ilvl w:val="0"/>
          <w:numId w:val="29"/>
        </w:numPr>
        <w:spacing w:line="276" w:lineRule="auto"/>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Pourcentage des gardiennes connaissant la tranche d’âge éligible à la CPS ;</w:t>
      </w:r>
    </w:p>
    <w:p w14:paraId="6D24A2B5" w14:textId="77777777" w:rsidR="00476D60" w:rsidRPr="00456312" w:rsidRDefault="00476D60" w:rsidP="00476D60">
      <w:pPr>
        <w:pStyle w:val="ListParagraph"/>
        <w:numPr>
          <w:ilvl w:val="0"/>
          <w:numId w:val="29"/>
        </w:numPr>
        <w:spacing w:line="276" w:lineRule="auto"/>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Pourcentage des gardiennes connaissant l’importance de l’éligibilité d’âge d’enfant pour la CPS ;</w:t>
      </w:r>
    </w:p>
    <w:p w14:paraId="3182F829" w14:textId="77777777" w:rsidR="00476D60" w:rsidRPr="00456312" w:rsidRDefault="00476D60" w:rsidP="00476D60">
      <w:pPr>
        <w:pStyle w:val="ListParagraph"/>
        <w:numPr>
          <w:ilvl w:val="0"/>
          <w:numId w:val="29"/>
        </w:numPr>
        <w:spacing w:line="276" w:lineRule="auto"/>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Pourcentage des gardiennes connaissant l’importance de l’administration de traitement de jours 2 et 3 ;</w:t>
      </w:r>
    </w:p>
    <w:p w14:paraId="087700DC" w14:textId="77777777" w:rsidR="00476D60" w:rsidRPr="00456312" w:rsidRDefault="00476D60" w:rsidP="00476D60">
      <w:pPr>
        <w:pStyle w:val="ListParagraph"/>
        <w:numPr>
          <w:ilvl w:val="0"/>
          <w:numId w:val="29"/>
        </w:numPr>
        <w:spacing w:line="276" w:lineRule="auto"/>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Pourcentage de gardiennes connaissant les effets secondaires ;</w:t>
      </w:r>
    </w:p>
    <w:p w14:paraId="5868A1BB" w14:textId="77777777" w:rsidR="00476D60" w:rsidRPr="00456312" w:rsidRDefault="00476D60" w:rsidP="00476D60">
      <w:pPr>
        <w:pStyle w:val="ListParagraph"/>
        <w:numPr>
          <w:ilvl w:val="0"/>
          <w:numId w:val="29"/>
        </w:numPr>
        <w:spacing w:line="276" w:lineRule="auto"/>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Pourcentage des gardiennes reconnaissant l’efficacité de la CPS ;</w:t>
      </w:r>
    </w:p>
    <w:p w14:paraId="41116A69" w14:textId="77777777" w:rsidR="00476D60" w:rsidRPr="00456312" w:rsidRDefault="00476D60" w:rsidP="00476D60">
      <w:pPr>
        <w:pStyle w:val="ListParagraph"/>
        <w:numPr>
          <w:ilvl w:val="0"/>
          <w:numId w:val="29"/>
        </w:numPr>
        <w:spacing w:line="276" w:lineRule="auto"/>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Pourcentage des gardiennes ayant déclaré que les agents de santé distributeurs portaient un masque ;</w:t>
      </w:r>
    </w:p>
    <w:p w14:paraId="542C1210" w14:textId="77777777" w:rsidR="00476D60" w:rsidRPr="00456312" w:rsidRDefault="00476D60" w:rsidP="00476D60">
      <w:pPr>
        <w:pStyle w:val="ListParagraph"/>
        <w:numPr>
          <w:ilvl w:val="0"/>
          <w:numId w:val="29"/>
        </w:numPr>
        <w:spacing w:line="276" w:lineRule="auto"/>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lastRenderedPageBreak/>
        <w:t>Pourcentage des gardiennes ayant déclaré avoir reçu d’information de prévention de COVID-19 des agents de santé communautaire.</w:t>
      </w:r>
    </w:p>
    <w:p w14:paraId="39BDDA70" w14:textId="77777777" w:rsidR="00476D60" w:rsidRPr="003E279C" w:rsidRDefault="00476D60" w:rsidP="00476D60">
      <w:pPr>
        <w:spacing w:line="276" w:lineRule="auto"/>
        <w:jc w:val="both"/>
        <w:rPr>
          <w:rFonts w:asciiTheme="majorHAnsi" w:hAnsiTheme="majorHAnsi" w:cstheme="majorHAnsi"/>
          <w:b/>
          <w:sz w:val="24"/>
          <w:szCs w:val="24"/>
          <w:lang w:val="fr-FR"/>
        </w:rPr>
      </w:pPr>
      <w:r>
        <w:rPr>
          <w:rFonts w:asciiTheme="majorHAnsi" w:hAnsiTheme="majorHAnsi" w:cstheme="majorHAnsi"/>
          <w:b/>
          <w:sz w:val="24"/>
          <w:szCs w:val="24"/>
          <w:lang w:val="fr-FR"/>
        </w:rPr>
        <w:t>L</w:t>
      </w:r>
      <w:r w:rsidRPr="003E279C">
        <w:rPr>
          <w:rFonts w:asciiTheme="majorHAnsi" w:hAnsiTheme="majorHAnsi" w:cstheme="majorHAnsi"/>
          <w:b/>
          <w:sz w:val="24"/>
          <w:szCs w:val="24"/>
          <w:lang w:val="fr-FR"/>
        </w:rPr>
        <w:t xml:space="preserve">es indicateurs </w:t>
      </w:r>
      <w:r>
        <w:rPr>
          <w:rFonts w:asciiTheme="majorHAnsi" w:hAnsiTheme="majorHAnsi" w:cstheme="majorHAnsi"/>
          <w:b/>
          <w:sz w:val="24"/>
          <w:szCs w:val="24"/>
          <w:lang w:val="fr-FR"/>
        </w:rPr>
        <w:t xml:space="preserve">secondaires </w:t>
      </w:r>
      <w:r w:rsidRPr="003E279C">
        <w:rPr>
          <w:rFonts w:asciiTheme="majorHAnsi" w:hAnsiTheme="majorHAnsi" w:cstheme="majorHAnsi"/>
          <w:b/>
          <w:sz w:val="24"/>
          <w:szCs w:val="24"/>
          <w:lang w:val="fr-FR"/>
        </w:rPr>
        <w:t>retenus sont :</w:t>
      </w:r>
    </w:p>
    <w:p w14:paraId="4371C05F"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 xml:space="preserve">Principales raisons du </w:t>
      </w:r>
      <w:proofErr w:type="gramStart"/>
      <w:r w:rsidRPr="00456312">
        <w:rPr>
          <w:rFonts w:asciiTheme="majorHAnsi" w:eastAsiaTheme="majorEastAsia" w:hAnsiTheme="majorHAnsi" w:cstheme="majorHAnsi"/>
          <w:b w:val="0"/>
          <w:bCs/>
          <w:sz w:val="22"/>
          <w:szCs w:val="22"/>
          <w:lang w:val="fr-FR"/>
        </w:rPr>
        <w:t>non traitement</w:t>
      </w:r>
      <w:proofErr w:type="gramEnd"/>
      <w:r w:rsidRPr="00456312">
        <w:rPr>
          <w:rFonts w:asciiTheme="majorHAnsi" w:eastAsiaTheme="majorEastAsia" w:hAnsiTheme="majorHAnsi" w:cstheme="majorHAnsi"/>
          <w:b w:val="0"/>
          <w:bCs/>
          <w:sz w:val="22"/>
          <w:szCs w:val="22"/>
          <w:lang w:val="fr-FR"/>
        </w:rPr>
        <w:t xml:space="preserve"> des enfants 3-59 mois</w:t>
      </w:r>
    </w:p>
    <w:p w14:paraId="7DEDD380"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Principales catégories de refus de la CPS</w:t>
      </w:r>
    </w:p>
    <w:p w14:paraId="27D7D149"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Pourcentage d’enfants ayant eu une réaction secondaire</w:t>
      </w:r>
    </w:p>
    <w:p w14:paraId="1D8493B2"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rPr>
      </w:pPr>
      <w:proofErr w:type="spellStart"/>
      <w:r w:rsidRPr="00456312">
        <w:rPr>
          <w:rFonts w:asciiTheme="majorHAnsi" w:eastAsiaTheme="majorEastAsia" w:hAnsiTheme="majorHAnsi" w:cstheme="majorHAnsi"/>
          <w:b w:val="0"/>
          <w:bCs/>
          <w:sz w:val="22"/>
          <w:szCs w:val="22"/>
        </w:rPr>
        <w:t>Principales</w:t>
      </w:r>
      <w:proofErr w:type="spellEnd"/>
      <w:r w:rsidRPr="00456312">
        <w:rPr>
          <w:rFonts w:asciiTheme="majorHAnsi" w:eastAsiaTheme="majorEastAsia" w:hAnsiTheme="majorHAnsi" w:cstheme="majorHAnsi"/>
          <w:b w:val="0"/>
          <w:bCs/>
          <w:sz w:val="22"/>
          <w:szCs w:val="22"/>
        </w:rPr>
        <w:t xml:space="preserve"> </w:t>
      </w:r>
      <w:proofErr w:type="spellStart"/>
      <w:r w:rsidRPr="00456312">
        <w:rPr>
          <w:rFonts w:asciiTheme="majorHAnsi" w:eastAsiaTheme="majorEastAsia" w:hAnsiTheme="majorHAnsi" w:cstheme="majorHAnsi"/>
          <w:b w:val="0"/>
          <w:bCs/>
          <w:sz w:val="22"/>
          <w:szCs w:val="22"/>
        </w:rPr>
        <w:t>réactions</w:t>
      </w:r>
      <w:proofErr w:type="spellEnd"/>
      <w:r w:rsidRPr="00456312">
        <w:rPr>
          <w:rFonts w:asciiTheme="majorHAnsi" w:eastAsiaTheme="majorEastAsia" w:hAnsiTheme="majorHAnsi" w:cstheme="majorHAnsi"/>
          <w:b w:val="0"/>
          <w:bCs/>
          <w:sz w:val="22"/>
          <w:szCs w:val="22"/>
        </w:rPr>
        <w:t xml:space="preserve"> </w:t>
      </w:r>
      <w:proofErr w:type="spellStart"/>
      <w:r w:rsidRPr="00456312">
        <w:rPr>
          <w:rFonts w:asciiTheme="majorHAnsi" w:eastAsiaTheme="majorEastAsia" w:hAnsiTheme="majorHAnsi" w:cstheme="majorHAnsi"/>
          <w:b w:val="0"/>
          <w:bCs/>
          <w:sz w:val="22"/>
          <w:szCs w:val="22"/>
        </w:rPr>
        <w:t>secondaires</w:t>
      </w:r>
      <w:proofErr w:type="spellEnd"/>
    </w:p>
    <w:p w14:paraId="0222D3A8"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Proportion de responsables d’enfants ayant communiqués les réactions secondaires au relais communautaire/ agent de santé</w:t>
      </w:r>
    </w:p>
    <w:p w14:paraId="0D1E8C28"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 xml:space="preserve">Principales raisons de </w:t>
      </w:r>
      <w:proofErr w:type="gramStart"/>
      <w:r w:rsidRPr="00456312">
        <w:rPr>
          <w:rFonts w:asciiTheme="majorHAnsi" w:eastAsiaTheme="majorEastAsia" w:hAnsiTheme="majorHAnsi" w:cstheme="majorHAnsi"/>
          <w:b w:val="0"/>
          <w:bCs/>
          <w:sz w:val="22"/>
          <w:szCs w:val="22"/>
          <w:lang w:val="fr-FR"/>
        </w:rPr>
        <w:t>non traitement</w:t>
      </w:r>
      <w:proofErr w:type="gramEnd"/>
      <w:r w:rsidRPr="00456312">
        <w:rPr>
          <w:rFonts w:asciiTheme="majorHAnsi" w:eastAsiaTheme="majorEastAsia" w:hAnsiTheme="majorHAnsi" w:cstheme="majorHAnsi"/>
          <w:b w:val="0"/>
          <w:bCs/>
          <w:sz w:val="22"/>
          <w:szCs w:val="22"/>
          <w:lang w:val="fr-FR"/>
        </w:rPr>
        <w:t xml:space="preserve"> CPS au jour 1</w:t>
      </w:r>
    </w:p>
    <w:p w14:paraId="67F38FE1"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 xml:space="preserve">Principales raisons de </w:t>
      </w:r>
      <w:proofErr w:type="gramStart"/>
      <w:r w:rsidRPr="00456312">
        <w:rPr>
          <w:rFonts w:asciiTheme="majorHAnsi" w:eastAsiaTheme="majorEastAsia" w:hAnsiTheme="majorHAnsi" w:cstheme="majorHAnsi"/>
          <w:b w:val="0"/>
          <w:bCs/>
          <w:sz w:val="22"/>
          <w:szCs w:val="22"/>
          <w:lang w:val="fr-FR"/>
        </w:rPr>
        <w:t>non traitement</w:t>
      </w:r>
      <w:proofErr w:type="gramEnd"/>
      <w:r w:rsidRPr="00456312">
        <w:rPr>
          <w:rFonts w:asciiTheme="majorHAnsi" w:eastAsiaTheme="majorEastAsia" w:hAnsiTheme="majorHAnsi" w:cstheme="majorHAnsi"/>
          <w:b w:val="0"/>
          <w:bCs/>
          <w:sz w:val="22"/>
          <w:szCs w:val="22"/>
          <w:lang w:val="fr-FR"/>
        </w:rPr>
        <w:t xml:space="preserve"> CPS aux jours 2 et 3</w:t>
      </w:r>
    </w:p>
    <w:p w14:paraId="05E3A82A"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 xml:space="preserve">Principales raisons de </w:t>
      </w:r>
      <w:proofErr w:type="gramStart"/>
      <w:r w:rsidRPr="00456312">
        <w:rPr>
          <w:rFonts w:asciiTheme="majorHAnsi" w:eastAsiaTheme="majorEastAsia" w:hAnsiTheme="majorHAnsi" w:cstheme="majorHAnsi"/>
          <w:b w:val="0"/>
          <w:bCs/>
          <w:sz w:val="22"/>
          <w:szCs w:val="22"/>
          <w:lang w:val="fr-FR"/>
        </w:rPr>
        <w:t>non possession</w:t>
      </w:r>
      <w:proofErr w:type="gramEnd"/>
      <w:r w:rsidRPr="00456312">
        <w:rPr>
          <w:rFonts w:asciiTheme="majorHAnsi" w:eastAsiaTheme="majorEastAsia" w:hAnsiTheme="majorHAnsi" w:cstheme="majorHAnsi"/>
          <w:b w:val="0"/>
          <w:bCs/>
          <w:sz w:val="22"/>
          <w:szCs w:val="22"/>
          <w:lang w:val="fr-FR"/>
        </w:rPr>
        <w:t xml:space="preserve"> de carte CPS</w:t>
      </w:r>
    </w:p>
    <w:p w14:paraId="09B6FA00"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Pourcentage de ménage ayant refusé la CPS à cause de COVID-19</w:t>
      </w:r>
    </w:p>
    <w:p w14:paraId="4BA181F4"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Proportion de gardiennes d’enfants conscientes de l’existence de COVID-19</w:t>
      </w:r>
    </w:p>
    <w:p w14:paraId="0E035113"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rPr>
      </w:pPr>
      <w:proofErr w:type="spellStart"/>
      <w:r w:rsidRPr="00456312">
        <w:rPr>
          <w:rFonts w:asciiTheme="majorHAnsi" w:eastAsiaTheme="majorEastAsia" w:hAnsiTheme="majorHAnsi" w:cstheme="majorHAnsi"/>
          <w:b w:val="0"/>
          <w:bCs/>
          <w:sz w:val="22"/>
          <w:szCs w:val="22"/>
        </w:rPr>
        <w:t>Pourcentage</w:t>
      </w:r>
      <w:proofErr w:type="spellEnd"/>
      <w:r w:rsidRPr="00456312">
        <w:rPr>
          <w:rFonts w:asciiTheme="majorHAnsi" w:eastAsiaTheme="majorEastAsia" w:hAnsiTheme="majorHAnsi" w:cstheme="majorHAnsi"/>
          <w:b w:val="0"/>
          <w:bCs/>
          <w:sz w:val="22"/>
          <w:szCs w:val="22"/>
        </w:rPr>
        <w:t xml:space="preserve"> de concession bien </w:t>
      </w:r>
      <w:proofErr w:type="spellStart"/>
      <w:r w:rsidRPr="00456312">
        <w:rPr>
          <w:rFonts w:asciiTheme="majorHAnsi" w:eastAsiaTheme="majorEastAsia" w:hAnsiTheme="majorHAnsi" w:cstheme="majorHAnsi"/>
          <w:b w:val="0"/>
          <w:bCs/>
          <w:sz w:val="22"/>
          <w:szCs w:val="22"/>
        </w:rPr>
        <w:t>marqué</w:t>
      </w:r>
      <w:proofErr w:type="spellEnd"/>
    </w:p>
    <w:p w14:paraId="3049FACE"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Pourcentage de gardiennes d’enfants ayant entendu le message du crieur public sur la CPS dans le mois</w:t>
      </w:r>
    </w:p>
    <w:p w14:paraId="21276D75"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rPr>
      </w:pPr>
      <w:proofErr w:type="spellStart"/>
      <w:r w:rsidRPr="00456312">
        <w:rPr>
          <w:rFonts w:asciiTheme="majorHAnsi" w:eastAsiaTheme="majorEastAsia" w:hAnsiTheme="majorHAnsi" w:cstheme="majorHAnsi"/>
          <w:b w:val="0"/>
          <w:bCs/>
          <w:sz w:val="22"/>
          <w:szCs w:val="22"/>
        </w:rPr>
        <w:t>Principaux</w:t>
      </w:r>
      <w:proofErr w:type="spellEnd"/>
      <w:r w:rsidRPr="00456312">
        <w:rPr>
          <w:rFonts w:asciiTheme="majorHAnsi" w:eastAsiaTheme="majorEastAsia" w:hAnsiTheme="majorHAnsi" w:cstheme="majorHAnsi"/>
          <w:b w:val="0"/>
          <w:bCs/>
          <w:sz w:val="22"/>
          <w:szCs w:val="22"/>
        </w:rPr>
        <w:t xml:space="preserve"> </w:t>
      </w:r>
      <w:proofErr w:type="spellStart"/>
      <w:r w:rsidRPr="00456312">
        <w:rPr>
          <w:rFonts w:asciiTheme="majorHAnsi" w:eastAsiaTheme="majorEastAsia" w:hAnsiTheme="majorHAnsi" w:cstheme="majorHAnsi"/>
          <w:b w:val="0"/>
          <w:bCs/>
          <w:sz w:val="22"/>
          <w:szCs w:val="22"/>
        </w:rPr>
        <w:t>canaux</w:t>
      </w:r>
      <w:proofErr w:type="spellEnd"/>
      <w:r w:rsidRPr="00456312">
        <w:rPr>
          <w:rFonts w:asciiTheme="majorHAnsi" w:eastAsiaTheme="majorEastAsia" w:hAnsiTheme="majorHAnsi" w:cstheme="majorHAnsi"/>
          <w:b w:val="0"/>
          <w:bCs/>
          <w:sz w:val="22"/>
          <w:szCs w:val="22"/>
        </w:rPr>
        <w:t xml:space="preserve"> </w:t>
      </w:r>
      <w:proofErr w:type="spellStart"/>
      <w:r w:rsidRPr="00456312">
        <w:rPr>
          <w:rFonts w:asciiTheme="majorHAnsi" w:eastAsiaTheme="majorEastAsia" w:hAnsiTheme="majorHAnsi" w:cstheme="majorHAnsi"/>
          <w:b w:val="0"/>
          <w:bCs/>
          <w:sz w:val="22"/>
          <w:szCs w:val="22"/>
        </w:rPr>
        <w:t>d’information</w:t>
      </w:r>
      <w:proofErr w:type="spellEnd"/>
      <w:r w:rsidRPr="00456312">
        <w:rPr>
          <w:rFonts w:asciiTheme="majorHAnsi" w:eastAsiaTheme="majorEastAsia" w:hAnsiTheme="majorHAnsi" w:cstheme="majorHAnsi"/>
          <w:b w:val="0"/>
          <w:bCs/>
          <w:sz w:val="22"/>
          <w:szCs w:val="22"/>
        </w:rPr>
        <w:t xml:space="preserve"> CPS</w:t>
      </w:r>
    </w:p>
    <w:p w14:paraId="009ED2F6"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rPr>
      </w:pPr>
      <w:proofErr w:type="spellStart"/>
      <w:r w:rsidRPr="00456312">
        <w:rPr>
          <w:rFonts w:asciiTheme="majorHAnsi" w:eastAsiaTheme="majorEastAsia" w:hAnsiTheme="majorHAnsi" w:cstheme="majorHAnsi"/>
          <w:b w:val="0"/>
          <w:bCs/>
          <w:sz w:val="22"/>
          <w:szCs w:val="22"/>
        </w:rPr>
        <w:t>Prévalence</w:t>
      </w:r>
      <w:proofErr w:type="spellEnd"/>
      <w:r w:rsidRPr="00456312">
        <w:rPr>
          <w:rFonts w:asciiTheme="majorHAnsi" w:eastAsiaTheme="majorEastAsia" w:hAnsiTheme="majorHAnsi" w:cstheme="majorHAnsi"/>
          <w:b w:val="0"/>
          <w:bCs/>
          <w:sz w:val="22"/>
          <w:szCs w:val="22"/>
        </w:rPr>
        <w:t xml:space="preserve"> de </w:t>
      </w:r>
      <w:proofErr w:type="spellStart"/>
      <w:r w:rsidRPr="00456312">
        <w:rPr>
          <w:rFonts w:asciiTheme="majorHAnsi" w:eastAsiaTheme="majorEastAsia" w:hAnsiTheme="majorHAnsi" w:cstheme="majorHAnsi"/>
          <w:b w:val="0"/>
          <w:bCs/>
          <w:sz w:val="22"/>
          <w:szCs w:val="22"/>
        </w:rPr>
        <w:t>fièvre</w:t>
      </w:r>
      <w:proofErr w:type="spellEnd"/>
    </w:p>
    <w:p w14:paraId="680FD658"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Taux de fréquentation centre de santé</w:t>
      </w:r>
    </w:p>
    <w:p w14:paraId="429EE9E7"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rPr>
      </w:pPr>
      <w:proofErr w:type="spellStart"/>
      <w:r w:rsidRPr="00456312">
        <w:rPr>
          <w:rFonts w:asciiTheme="majorHAnsi" w:eastAsiaTheme="majorEastAsia" w:hAnsiTheme="majorHAnsi" w:cstheme="majorHAnsi"/>
          <w:b w:val="0"/>
          <w:bCs/>
          <w:sz w:val="22"/>
          <w:szCs w:val="22"/>
        </w:rPr>
        <w:t>Prévalence</w:t>
      </w:r>
      <w:proofErr w:type="spellEnd"/>
      <w:r w:rsidRPr="00456312">
        <w:rPr>
          <w:rFonts w:asciiTheme="majorHAnsi" w:eastAsiaTheme="majorEastAsia" w:hAnsiTheme="majorHAnsi" w:cstheme="majorHAnsi"/>
          <w:b w:val="0"/>
          <w:bCs/>
          <w:sz w:val="22"/>
          <w:szCs w:val="22"/>
        </w:rPr>
        <w:t xml:space="preserve"> du </w:t>
      </w:r>
      <w:proofErr w:type="spellStart"/>
      <w:r w:rsidRPr="00456312">
        <w:rPr>
          <w:rFonts w:asciiTheme="majorHAnsi" w:eastAsiaTheme="majorEastAsia" w:hAnsiTheme="majorHAnsi" w:cstheme="majorHAnsi"/>
          <w:b w:val="0"/>
          <w:bCs/>
          <w:sz w:val="22"/>
          <w:szCs w:val="22"/>
        </w:rPr>
        <w:t>paludisme</w:t>
      </w:r>
      <w:proofErr w:type="spellEnd"/>
    </w:p>
    <w:p w14:paraId="6580127D"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rPr>
      </w:pPr>
      <w:r w:rsidRPr="00456312">
        <w:rPr>
          <w:rFonts w:asciiTheme="majorHAnsi" w:eastAsiaTheme="majorEastAsia" w:hAnsiTheme="majorHAnsi" w:cstheme="majorHAnsi"/>
          <w:b w:val="0"/>
          <w:bCs/>
          <w:sz w:val="22"/>
          <w:szCs w:val="22"/>
        </w:rPr>
        <w:t xml:space="preserve">Proportion de possession </w:t>
      </w:r>
      <w:proofErr w:type="spellStart"/>
      <w:r w:rsidRPr="00456312">
        <w:rPr>
          <w:rFonts w:asciiTheme="majorHAnsi" w:eastAsiaTheme="majorEastAsia" w:hAnsiTheme="majorHAnsi" w:cstheme="majorHAnsi"/>
          <w:b w:val="0"/>
          <w:bCs/>
          <w:sz w:val="22"/>
          <w:szCs w:val="22"/>
        </w:rPr>
        <w:t>moustiquaire</w:t>
      </w:r>
      <w:proofErr w:type="spellEnd"/>
    </w:p>
    <w:p w14:paraId="7D5241DD"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Taux d’utilisation de moustiquaire (pourcentage d’enfant ayant passé la nuit dernière dans la moustiquaire)</w:t>
      </w:r>
    </w:p>
    <w:p w14:paraId="57B5B02C"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rPr>
      </w:pPr>
      <w:proofErr w:type="spellStart"/>
      <w:r w:rsidRPr="00456312">
        <w:rPr>
          <w:rFonts w:asciiTheme="majorHAnsi" w:eastAsiaTheme="majorEastAsia" w:hAnsiTheme="majorHAnsi" w:cstheme="majorHAnsi"/>
          <w:b w:val="0"/>
          <w:bCs/>
          <w:sz w:val="22"/>
          <w:szCs w:val="22"/>
        </w:rPr>
        <w:t>Taux</w:t>
      </w:r>
      <w:proofErr w:type="spellEnd"/>
      <w:r w:rsidRPr="00456312">
        <w:rPr>
          <w:rFonts w:asciiTheme="majorHAnsi" w:eastAsiaTheme="majorEastAsia" w:hAnsiTheme="majorHAnsi" w:cstheme="majorHAnsi"/>
          <w:b w:val="0"/>
          <w:bCs/>
          <w:sz w:val="22"/>
          <w:szCs w:val="22"/>
        </w:rPr>
        <w:t xml:space="preserve"> de </w:t>
      </w:r>
      <w:proofErr w:type="spellStart"/>
      <w:r w:rsidRPr="00456312">
        <w:rPr>
          <w:rFonts w:asciiTheme="majorHAnsi" w:eastAsiaTheme="majorEastAsia" w:hAnsiTheme="majorHAnsi" w:cstheme="majorHAnsi"/>
          <w:b w:val="0"/>
          <w:bCs/>
          <w:sz w:val="22"/>
          <w:szCs w:val="22"/>
        </w:rPr>
        <w:t>pulvérisation</w:t>
      </w:r>
      <w:proofErr w:type="spellEnd"/>
      <w:r w:rsidRPr="00456312">
        <w:rPr>
          <w:rFonts w:asciiTheme="majorHAnsi" w:eastAsiaTheme="majorEastAsia" w:hAnsiTheme="majorHAnsi" w:cstheme="majorHAnsi"/>
          <w:b w:val="0"/>
          <w:bCs/>
          <w:sz w:val="22"/>
          <w:szCs w:val="22"/>
        </w:rPr>
        <w:t xml:space="preserve"> intra-</w:t>
      </w:r>
      <w:proofErr w:type="spellStart"/>
      <w:r w:rsidRPr="00456312">
        <w:rPr>
          <w:rFonts w:asciiTheme="majorHAnsi" w:eastAsiaTheme="majorEastAsia" w:hAnsiTheme="majorHAnsi" w:cstheme="majorHAnsi"/>
          <w:b w:val="0"/>
          <w:bCs/>
          <w:sz w:val="22"/>
          <w:szCs w:val="22"/>
        </w:rPr>
        <w:t>domiciliaire</w:t>
      </w:r>
      <w:proofErr w:type="spellEnd"/>
    </w:p>
    <w:p w14:paraId="70346F9C"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Pourcentage de relais communautaire connu de la communauté</w:t>
      </w:r>
    </w:p>
    <w:p w14:paraId="26AA9588"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lang w:val="fr-FR"/>
        </w:rPr>
      </w:pPr>
      <w:r w:rsidRPr="00456312">
        <w:rPr>
          <w:rFonts w:asciiTheme="majorHAnsi" w:eastAsiaTheme="majorEastAsia" w:hAnsiTheme="majorHAnsi" w:cstheme="majorHAnsi"/>
          <w:b w:val="0"/>
          <w:bCs/>
          <w:sz w:val="22"/>
          <w:szCs w:val="22"/>
          <w:lang w:val="fr-FR"/>
        </w:rPr>
        <w:t>Pourcentage d’enfants hors tranche d’âge éligible traités au sein de concession avec enfants éligibles</w:t>
      </w:r>
    </w:p>
    <w:p w14:paraId="79373E92" w14:textId="77777777" w:rsidR="00476D60" w:rsidRPr="00456312" w:rsidRDefault="00476D60" w:rsidP="00476D60">
      <w:pPr>
        <w:pStyle w:val="ListParagraph"/>
        <w:numPr>
          <w:ilvl w:val="0"/>
          <w:numId w:val="30"/>
        </w:numPr>
        <w:spacing w:before="100" w:beforeAutospacing="1" w:after="100" w:afterAutospacing="1" w:line="276" w:lineRule="auto"/>
        <w:ind w:left="360"/>
        <w:contextualSpacing w:val="0"/>
        <w:jc w:val="both"/>
        <w:rPr>
          <w:rFonts w:asciiTheme="majorHAnsi" w:eastAsiaTheme="majorEastAsia" w:hAnsiTheme="majorHAnsi" w:cstheme="majorHAnsi"/>
          <w:b w:val="0"/>
          <w:bCs/>
          <w:sz w:val="22"/>
          <w:szCs w:val="22"/>
        </w:rPr>
      </w:pPr>
      <w:proofErr w:type="spellStart"/>
      <w:r w:rsidRPr="00456312">
        <w:rPr>
          <w:rFonts w:asciiTheme="majorHAnsi" w:eastAsiaTheme="majorEastAsia" w:hAnsiTheme="majorHAnsi" w:cstheme="majorHAnsi"/>
          <w:b w:val="0"/>
          <w:bCs/>
          <w:sz w:val="22"/>
          <w:szCs w:val="22"/>
        </w:rPr>
        <w:t>Taux</w:t>
      </w:r>
      <w:proofErr w:type="spellEnd"/>
      <w:r w:rsidRPr="00456312">
        <w:rPr>
          <w:rFonts w:asciiTheme="majorHAnsi" w:eastAsiaTheme="majorEastAsia" w:hAnsiTheme="majorHAnsi" w:cstheme="majorHAnsi"/>
          <w:b w:val="0"/>
          <w:bCs/>
          <w:sz w:val="22"/>
          <w:szCs w:val="22"/>
        </w:rPr>
        <w:t xml:space="preserve"> de </w:t>
      </w:r>
      <w:proofErr w:type="spellStart"/>
      <w:r w:rsidRPr="00456312">
        <w:rPr>
          <w:rFonts w:asciiTheme="majorHAnsi" w:eastAsiaTheme="majorEastAsia" w:hAnsiTheme="majorHAnsi" w:cstheme="majorHAnsi"/>
          <w:b w:val="0"/>
          <w:bCs/>
          <w:sz w:val="22"/>
          <w:szCs w:val="22"/>
        </w:rPr>
        <w:t>rétention</w:t>
      </w:r>
      <w:proofErr w:type="spellEnd"/>
      <w:r w:rsidRPr="00456312">
        <w:rPr>
          <w:rFonts w:asciiTheme="majorHAnsi" w:eastAsiaTheme="majorEastAsia" w:hAnsiTheme="majorHAnsi" w:cstheme="majorHAnsi"/>
          <w:b w:val="0"/>
          <w:bCs/>
          <w:sz w:val="22"/>
          <w:szCs w:val="22"/>
        </w:rPr>
        <w:t xml:space="preserve"> de plaquettes </w:t>
      </w:r>
    </w:p>
    <w:p w14:paraId="576861C5" w14:textId="77777777" w:rsidR="00476D60" w:rsidRPr="00F544E6" w:rsidRDefault="00476D60" w:rsidP="00476D60">
      <w:pPr>
        <w:keepNext/>
        <w:keepLines/>
        <w:spacing w:before="100" w:beforeAutospacing="1" w:after="100" w:afterAutospacing="1" w:line="276" w:lineRule="auto"/>
        <w:jc w:val="both"/>
        <w:outlineLvl w:val="0"/>
        <w:rPr>
          <w:rFonts w:asciiTheme="majorHAnsi" w:eastAsiaTheme="majorEastAsia" w:hAnsiTheme="majorHAnsi" w:cstheme="majorHAnsi"/>
          <w:color w:val="2E74B5" w:themeColor="accent1" w:themeShade="BF"/>
          <w:lang w:val="fr-FR"/>
        </w:rPr>
      </w:pPr>
      <w:r w:rsidRPr="00F544E6">
        <w:rPr>
          <w:rFonts w:asciiTheme="majorHAnsi" w:eastAsiaTheme="majorEastAsia" w:hAnsiTheme="majorHAnsi" w:cstheme="majorHAnsi"/>
          <w:color w:val="2E74B5" w:themeColor="accent1" w:themeShade="BF"/>
          <w:lang w:val="fr-FR"/>
        </w:rPr>
        <w:lastRenderedPageBreak/>
        <w:t>Indicateurs du rapport intermédiaire servant à informer les CS et DS</w:t>
      </w:r>
    </w:p>
    <w:p w14:paraId="5A7BB0C9" w14:textId="77777777" w:rsidR="00476D60" w:rsidRPr="00F544E6" w:rsidRDefault="00476D60" w:rsidP="00476D60">
      <w:pPr>
        <w:keepNext/>
        <w:keepLines/>
        <w:spacing w:before="100" w:beforeAutospacing="1" w:after="100" w:afterAutospacing="1" w:line="276" w:lineRule="auto"/>
        <w:jc w:val="both"/>
        <w:outlineLvl w:val="0"/>
        <w:rPr>
          <w:rFonts w:asciiTheme="majorHAnsi" w:eastAsiaTheme="majorEastAsia" w:hAnsiTheme="majorHAnsi" w:cstheme="majorHAnsi"/>
          <w:lang w:val="fr-FR"/>
        </w:rPr>
      </w:pPr>
      <w:r w:rsidRPr="00F544E6">
        <w:rPr>
          <w:rFonts w:asciiTheme="majorHAnsi" w:eastAsiaTheme="majorEastAsia" w:hAnsiTheme="majorHAnsi" w:cstheme="majorHAnsi"/>
          <w:lang w:val="fr-FR"/>
        </w:rPr>
        <w:t>Cette série d’indicateurs doit être fournie dans les 10 jours calendaires de la réalisation de l’enquête avant le rapport final. Ce délai doit être respecté afin d’informer à temps l’équipe du management de Malaria Consortium sur les zones ou performance du programme faible. Pour cela, le rapport doit comporter un tableau indiquant uniquement les zones de supervision (ainsi que les zones de responsabilité constituant la zone de supervision) défaillant pour chaque indicateur du tableau ci-dessous. On entend par zone de supervision défaillant une zone n’ayant pas atteint le seuil de décision sur les 25 concessions visitées pendant l’enquête.</w:t>
      </w:r>
    </w:p>
    <w:p w14:paraId="5639F047" w14:textId="77777777" w:rsidR="00476D60" w:rsidRPr="003E279C" w:rsidRDefault="00476D60" w:rsidP="00476D60">
      <w:pPr>
        <w:spacing w:before="240" w:line="276" w:lineRule="auto"/>
        <w:jc w:val="both"/>
        <w:rPr>
          <w:rFonts w:asciiTheme="majorHAnsi" w:hAnsiTheme="majorHAnsi" w:cstheme="majorHAnsi"/>
          <w:sz w:val="24"/>
          <w:szCs w:val="24"/>
          <w:lang w:val="fr-FR"/>
        </w:rPr>
      </w:pPr>
      <w:r w:rsidRPr="003E279C">
        <w:rPr>
          <w:rFonts w:asciiTheme="majorHAnsi" w:hAnsiTheme="majorHAnsi" w:cstheme="majorHAnsi"/>
          <w:sz w:val="24"/>
          <w:szCs w:val="24"/>
          <w:lang w:val="fr-FR"/>
        </w:rPr>
        <w:t>Les indicateurs suivants doivent être produits systématiquement après les enquêtes de fin de cycle (LQAS) et partager avec les districts en vue d’améliorer les cycles suivants :</w:t>
      </w:r>
    </w:p>
    <w:tbl>
      <w:tblPr>
        <w:tblW w:w="10349" w:type="dxa"/>
        <w:tblInd w:w="-289" w:type="dxa"/>
        <w:tblLook w:val="04A0" w:firstRow="1" w:lastRow="0" w:firstColumn="1" w:lastColumn="0" w:noHBand="0" w:noVBand="1"/>
      </w:tblPr>
      <w:tblGrid>
        <w:gridCol w:w="5529"/>
        <w:gridCol w:w="1615"/>
        <w:gridCol w:w="2260"/>
        <w:gridCol w:w="945"/>
      </w:tblGrid>
      <w:tr w:rsidR="00476D60" w:rsidRPr="00DE06E5" w14:paraId="5910D849" w14:textId="77777777" w:rsidTr="00F83B44">
        <w:trPr>
          <w:trHeight w:val="288"/>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3A4CB" w14:textId="77777777" w:rsidR="00476D60" w:rsidRPr="00DE06E5" w:rsidRDefault="00476D60" w:rsidP="00F83B44">
            <w:pPr>
              <w:jc w:val="center"/>
              <w:rPr>
                <w:rFonts w:ascii="Calibri Light" w:hAnsi="Calibri Light" w:cs="Calibri Light"/>
                <w:b/>
                <w:color w:val="000000"/>
                <w:lang w:val="en-GB" w:eastAsia="en-GB"/>
              </w:rPr>
            </w:pPr>
            <w:proofErr w:type="spellStart"/>
            <w:r w:rsidRPr="00DE06E5">
              <w:rPr>
                <w:rFonts w:ascii="Calibri Light" w:hAnsi="Calibri Light" w:cs="Calibri Light"/>
                <w:b/>
                <w:color w:val="000000"/>
                <w:lang w:val="en-GB" w:eastAsia="en-GB"/>
              </w:rPr>
              <w:t>Indicateur</w:t>
            </w:r>
            <w:r>
              <w:rPr>
                <w:rFonts w:ascii="Calibri Light" w:hAnsi="Calibri Light" w:cs="Calibri Light"/>
                <w:b/>
                <w:color w:val="000000"/>
                <w:lang w:val="en-GB" w:eastAsia="en-GB"/>
              </w:rPr>
              <w:t>s</w:t>
            </w:r>
            <w:proofErr w:type="spellEnd"/>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14:paraId="7795C0C8" w14:textId="77777777" w:rsidR="00476D60" w:rsidRPr="00DE06E5" w:rsidRDefault="00476D60" w:rsidP="00F83B44">
            <w:pPr>
              <w:jc w:val="center"/>
              <w:rPr>
                <w:rFonts w:ascii="Calibri Light" w:hAnsi="Calibri Light" w:cs="Calibri Light"/>
                <w:b/>
                <w:color w:val="000000"/>
                <w:lang w:val="en-GB" w:eastAsia="en-GB"/>
              </w:rPr>
            </w:pPr>
            <w:proofErr w:type="spellStart"/>
            <w:r w:rsidRPr="00DE06E5">
              <w:rPr>
                <w:rFonts w:ascii="Calibri Light" w:hAnsi="Calibri Light" w:cs="Calibri Light"/>
                <w:b/>
                <w:color w:val="000000"/>
                <w:lang w:val="en-GB" w:eastAsia="en-GB"/>
              </w:rPr>
              <w:t>Unité</w:t>
            </w:r>
            <w:proofErr w:type="spellEnd"/>
            <w:r w:rsidRPr="00DE06E5">
              <w:rPr>
                <w:rFonts w:ascii="Calibri Light" w:hAnsi="Calibri Light" w:cs="Calibri Light"/>
                <w:b/>
                <w:color w:val="000000"/>
                <w:lang w:val="en-GB" w:eastAsia="en-GB"/>
              </w:rPr>
              <w:t xml:space="preserve"> </w:t>
            </w:r>
            <w:proofErr w:type="spellStart"/>
            <w:r w:rsidRPr="00DE06E5">
              <w:rPr>
                <w:rFonts w:ascii="Calibri Light" w:hAnsi="Calibri Light" w:cs="Calibri Light"/>
                <w:b/>
                <w:color w:val="000000"/>
                <w:lang w:val="en-GB" w:eastAsia="en-GB"/>
              </w:rPr>
              <w:t>d'analyse</w:t>
            </w:r>
            <w:proofErr w:type="spellEnd"/>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14:paraId="4711ABF9" w14:textId="77777777" w:rsidR="00476D60" w:rsidRPr="00DE06E5" w:rsidRDefault="00476D60" w:rsidP="00F83B44">
            <w:pPr>
              <w:jc w:val="center"/>
              <w:rPr>
                <w:rFonts w:ascii="Calibri Light" w:hAnsi="Calibri Light" w:cs="Calibri Light"/>
                <w:b/>
                <w:color w:val="000000"/>
                <w:lang w:val="en-GB" w:eastAsia="en-GB"/>
              </w:rPr>
            </w:pPr>
            <w:proofErr w:type="spellStart"/>
            <w:r w:rsidRPr="00DE06E5">
              <w:rPr>
                <w:rFonts w:ascii="Calibri Light" w:hAnsi="Calibri Light" w:cs="Calibri Light"/>
                <w:b/>
                <w:color w:val="000000"/>
                <w:lang w:val="en-GB" w:eastAsia="en-GB"/>
              </w:rPr>
              <w:t>Dénominateur</w:t>
            </w:r>
            <w:proofErr w:type="spellEnd"/>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0BFF37EB" w14:textId="77777777" w:rsidR="00476D60" w:rsidRPr="00DE06E5" w:rsidRDefault="00476D60" w:rsidP="00F83B44">
            <w:pPr>
              <w:jc w:val="center"/>
              <w:rPr>
                <w:rFonts w:ascii="Calibri Light" w:hAnsi="Calibri Light" w:cs="Calibri Light"/>
                <w:b/>
                <w:color w:val="000000"/>
                <w:lang w:val="en-GB" w:eastAsia="en-GB"/>
              </w:rPr>
            </w:pPr>
            <w:proofErr w:type="spellStart"/>
            <w:r w:rsidRPr="00DE06E5">
              <w:rPr>
                <w:rFonts w:ascii="Calibri Light" w:hAnsi="Calibri Light" w:cs="Calibri Light"/>
                <w:b/>
                <w:color w:val="000000"/>
                <w:lang w:val="en-GB" w:eastAsia="en-GB"/>
              </w:rPr>
              <w:t>Seuil</w:t>
            </w:r>
            <w:proofErr w:type="spellEnd"/>
            <w:r w:rsidRPr="00DE06E5">
              <w:rPr>
                <w:rFonts w:ascii="Calibri Light" w:hAnsi="Calibri Light" w:cs="Calibri Light"/>
                <w:b/>
                <w:color w:val="000000"/>
                <w:lang w:val="en-GB" w:eastAsia="en-GB"/>
              </w:rPr>
              <w:t xml:space="preserve"> de </w:t>
            </w:r>
            <w:proofErr w:type="spellStart"/>
            <w:r w:rsidRPr="00DE06E5">
              <w:rPr>
                <w:rFonts w:ascii="Calibri Light" w:hAnsi="Calibri Light" w:cs="Calibri Light"/>
                <w:b/>
                <w:color w:val="000000"/>
                <w:lang w:val="en-GB" w:eastAsia="en-GB"/>
              </w:rPr>
              <w:t>décision</w:t>
            </w:r>
            <w:proofErr w:type="spellEnd"/>
          </w:p>
        </w:tc>
      </w:tr>
      <w:tr w:rsidR="00476D60" w:rsidRPr="00DE06E5" w14:paraId="5CFFACB4" w14:textId="77777777" w:rsidTr="00F83B44">
        <w:trPr>
          <w:trHeight w:val="57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463EE9"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Taux de couverture d’enfant = nombre d’enfants traités au jour 1 / nombre total d’enfants identifiés</w:t>
            </w:r>
          </w:p>
        </w:tc>
        <w:tc>
          <w:tcPr>
            <w:tcW w:w="1615" w:type="dxa"/>
            <w:tcBorders>
              <w:top w:val="nil"/>
              <w:left w:val="nil"/>
              <w:bottom w:val="single" w:sz="4" w:space="0" w:color="auto"/>
              <w:right w:val="single" w:sz="4" w:space="0" w:color="auto"/>
            </w:tcBorders>
            <w:shd w:val="clear" w:color="auto" w:fill="auto"/>
            <w:noWrap/>
            <w:vAlign w:val="center"/>
            <w:hideMark/>
          </w:tcPr>
          <w:p w14:paraId="7FE85B0A"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Enfant</w:t>
            </w:r>
          </w:p>
        </w:tc>
        <w:tc>
          <w:tcPr>
            <w:tcW w:w="2260" w:type="dxa"/>
            <w:tcBorders>
              <w:top w:val="nil"/>
              <w:left w:val="nil"/>
              <w:bottom w:val="single" w:sz="4" w:space="0" w:color="auto"/>
              <w:right w:val="single" w:sz="4" w:space="0" w:color="auto"/>
            </w:tcBorders>
            <w:shd w:val="clear" w:color="auto" w:fill="auto"/>
            <w:noWrap/>
            <w:vAlign w:val="center"/>
            <w:hideMark/>
          </w:tcPr>
          <w:p w14:paraId="0FF98C24"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Ménage ayant 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7381FE24"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23</w:t>
            </w:r>
          </w:p>
        </w:tc>
      </w:tr>
      <w:tr w:rsidR="00476D60" w:rsidRPr="00DE06E5" w14:paraId="57A1EC7E" w14:textId="77777777" w:rsidTr="00F83B44">
        <w:trPr>
          <w:trHeight w:val="57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7915885"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Taux de couverture ménage = nombre de ménages avec au moins un enfant traité / nombre total de ménages identifiés</w:t>
            </w:r>
          </w:p>
        </w:tc>
        <w:tc>
          <w:tcPr>
            <w:tcW w:w="1615" w:type="dxa"/>
            <w:tcBorders>
              <w:top w:val="nil"/>
              <w:left w:val="nil"/>
              <w:bottom w:val="single" w:sz="4" w:space="0" w:color="auto"/>
              <w:right w:val="single" w:sz="4" w:space="0" w:color="auto"/>
            </w:tcBorders>
            <w:shd w:val="clear" w:color="auto" w:fill="auto"/>
            <w:noWrap/>
            <w:vAlign w:val="center"/>
            <w:hideMark/>
          </w:tcPr>
          <w:p w14:paraId="7DFDCC11"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Menage</w:t>
            </w:r>
          </w:p>
        </w:tc>
        <w:tc>
          <w:tcPr>
            <w:tcW w:w="2260" w:type="dxa"/>
            <w:tcBorders>
              <w:top w:val="nil"/>
              <w:left w:val="nil"/>
              <w:bottom w:val="single" w:sz="4" w:space="0" w:color="auto"/>
              <w:right w:val="single" w:sz="4" w:space="0" w:color="auto"/>
            </w:tcBorders>
            <w:shd w:val="clear" w:color="auto" w:fill="auto"/>
            <w:noWrap/>
            <w:vAlign w:val="center"/>
            <w:hideMark/>
          </w:tcPr>
          <w:p w14:paraId="0C8A9BA5"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Ménage ayant 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3C81B8F9"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23</w:t>
            </w:r>
          </w:p>
        </w:tc>
      </w:tr>
      <w:tr w:rsidR="00476D60" w:rsidRPr="00DE06E5" w14:paraId="63FEAB5F" w14:textId="77777777" w:rsidTr="00F83B44">
        <w:trPr>
          <w:trHeight w:val="86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9FA74E9"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 xml:space="preserve">Proportion d’enfant d’enfants éligibles ayant reçu les 3 jours de traitement = nombre d’enfants éligibles ayant reçu les traitements de jours 1, 2 et 3 / nombre total d’enfants éligibles </w:t>
            </w:r>
            <w:proofErr w:type="gramStart"/>
            <w:r w:rsidRPr="00DE06E5">
              <w:rPr>
                <w:rFonts w:ascii="Calibri Light" w:hAnsi="Calibri Light" w:cs="Calibri Light"/>
                <w:color w:val="000000"/>
                <w:lang w:val="fr-FR" w:eastAsia="en-GB"/>
              </w:rPr>
              <w:t>ayant  reçu</w:t>
            </w:r>
            <w:proofErr w:type="gramEnd"/>
            <w:r w:rsidRPr="00DE06E5">
              <w:rPr>
                <w:rFonts w:ascii="Calibri Light" w:hAnsi="Calibri Light" w:cs="Calibri Light"/>
                <w:color w:val="000000"/>
                <w:lang w:val="fr-FR" w:eastAsia="en-GB"/>
              </w:rPr>
              <w:t xml:space="preserve"> le traitement du jour 1 identifiés</w:t>
            </w:r>
          </w:p>
        </w:tc>
        <w:tc>
          <w:tcPr>
            <w:tcW w:w="1615" w:type="dxa"/>
            <w:tcBorders>
              <w:top w:val="nil"/>
              <w:left w:val="nil"/>
              <w:bottom w:val="single" w:sz="4" w:space="0" w:color="auto"/>
              <w:right w:val="single" w:sz="4" w:space="0" w:color="auto"/>
            </w:tcBorders>
            <w:shd w:val="clear" w:color="auto" w:fill="auto"/>
            <w:noWrap/>
            <w:vAlign w:val="center"/>
            <w:hideMark/>
          </w:tcPr>
          <w:p w14:paraId="1864185E"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Enfant</w:t>
            </w:r>
          </w:p>
        </w:tc>
        <w:tc>
          <w:tcPr>
            <w:tcW w:w="2260" w:type="dxa"/>
            <w:tcBorders>
              <w:top w:val="nil"/>
              <w:left w:val="nil"/>
              <w:bottom w:val="single" w:sz="4" w:space="0" w:color="auto"/>
              <w:right w:val="single" w:sz="4" w:space="0" w:color="auto"/>
            </w:tcBorders>
            <w:shd w:val="clear" w:color="auto" w:fill="auto"/>
            <w:noWrap/>
            <w:vAlign w:val="center"/>
            <w:hideMark/>
          </w:tcPr>
          <w:p w14:paraId="53077C3A"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Enfant éligible atteint (Traitement jour 1)</w:t>
            </w:r>
          </w:p>
        </w:tc>
        <w:tc>
          <w:tcPr>
            <w:tcW w:w="945" w:type="dxa"/>
            <w:tcBorders>
              <w:top w:val="nil"/>
              <w:left w:val="nil"/>
              <w:bottom w:val="single" w:sz="4" w:space="0" w:color="auto"/>
              <w:right w:val="single" w:sz="4" w:space="0" w:color="auto"/>
            </w:tcBorders>
            <w:shd w:val="clear" w:color="auto" w:fill="auto"/>
            <w:noWrap/>
            <w:vAlign w:val="center"/>
            <w:hideMark/>
          </w:tcPr>
          <w:p w14:paraId="6135B21B"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22</w:t>
            </w:r>
          </w:p>
        </w:tc>
      </w:tr>
      <w:tr w:rsidR="00476D60" w:rsidRPr="00DE06E5" w14:paraId="4E258D11" w14:textId="77777777" w:rsidTr="00F83B44">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C013520"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Pourcentage d’enfants traités par la DOT</w:t>
            </w:r>
          </w:p>
        </w:tc>
        <w:tc>
          <w:tcPr>
            <w:tcW w:w="1615" w:type="dxa"/>
            <w:tcBorders>
              <w:top w:val="nil"/>
              <w:left w:val="nil"/>
              <w:bottom w:val="single" w:sz="4" w:space="0" w:color="auto"/>
              <w:right w:val="single" w:sz="4" w:space="0" w:color="auto"/>
            </w:tcBorders>
            <w:shd w:val="clear" w:color="auto" w:fill="auto"/>
            <w:noWrap/>
            <w:vAlign w:val="center"/>
            <w:hideMark/>
          </w:tcPr>
          <w:p w14:paraId="155FEFC2"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Enfant</w:t>
            </w:r>
          </w:p>
        </w:tc>
        <w:tc>
          <w:tcPr>
            <w:tcW w:w="2260" w:type="dxa"/>
            <w:tcBorders>
              <w:top w:val="nil"/>
              <w:left w:val="nil"/>
              <w:bottom w:val="single" w:sz="4" w:space="0" w:color="auto"/>
              <w:right w:val="single" w:sz="4" w:space="0" w:color="auto"/>
            </w:tcBorders>
            <w:shd w:val="clear" w:color="auto" w:fill="auto"/>
            <w:noWrap/>
            <w:vAlign w:val="center"/>
            <w:hideMark/>
          </w:tcPr>
          <w:p w14:paraId="1C7DA4DE"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Enfant éligible atteint (Traitement jour 1)</w:t>
            </w:r>
          </w:p>
        </w:tc>
        <w:tc>
          <w:tcPr>
            <w:tcW w:w="945" w:type="dxa"/>
            <w:tcBorders>
              <w:top w:val="nil"/>
              <w:left w:val="nil"/>
              <w:bottom w:val="single" w:sz="4" w:space="0" w:color="auto"/>
              <w:right w:val="single" w:sz="4" w:space="0" w:color="auto"/>
            </w:tcBorders>
            <w:shd w:val="clear" w:color="auto" w:fill="auto"/>
            <w:noWrap/>
            <w:vAlign w:val="center"/>
            <w:hideMark/>
          </w:tcPr>
          <w:p w14:paraId="1B2AA5C1"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22</w:t>
            </w:r>
          </w:p>
        </w:tc>
      </w:tr>
      <w:tr w:rsidR="00476D60" w:rsidRPr="00DE06E5" w14:paraId="1F2D8333" w14:textId="77777777" w:rsidTr="00F83B44">
        <w:trPr>
          <w:trHeight w:val="69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1A1A89C"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Pourcentage d’enfants éligibles possédant une carte CPS</w:t>
            </w:r>
          </w:p>
        </w:tc>
        <w:tc>
          <w:tcPr>
            <w:tcW w:w="1615" w:type="dxa"/>
            <w:tcBorders>
              <w:top w:val="nil"/>
              <w:left w:val="nil"/>
              <w:bottom w:val="single" w:sz="4" w:space="0" w:color="auto"/>
              <w:right w:val="single" w:sz="4" w:space="0" w:color="auto"/>
            </w:tcBorders>
            <w:shd w:val="clear" w:color="auto" w:fill="auto"/>
            <w:noWrap/>
            <w:vAlign w:val="center"/>
            <w:hideMark/>
          </w:tcPr>
          <w:p w14:paraId="01CE1D93"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Enfant</w:t>
            </w:r>
          </w:p>
        </w:tc>
        <w:tc>
          <w:tcPr>
            <w:tcW w:w="2260" w:type="dxa"/>
            <w:tcBorders>
              <w:top w:val="nil"/>
              <w:left w:val="nil"/>
              <w:bottom w:val="single" w:sz="4" w:space="0" w:color="auto"/>
              <w:right w:val="single" w:sz="4" w:space="0" w:color="auto"/>
            </w:tcBorders>
            <w:shd w:val="clear" w:color="auto" w:fill="auto"/>
            <w:noWrap/>
            <w:vAlign w:val="center"/>
            <w:hideMark/>
          </w:tcPr>
          <w:p w14:paraId="5B514D05"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Enfant éligible atteint (Traitement jour 1)</w:t>
            </w:r>
          </w:p>
        </w:tc>
        <w:tc>
          <w:tcPr>
            <w:tcW w:w="945" w:type="dxa"/>
            <w:tcBorders>
              <w:top w:val="nil"/>
              <w:left w:val="nil"/>
              <w:bottom w:val="single" w:sz="4" w:space="0" w:color="auto"/>
              <w:right w:val="single" w:sz="4" w:space="0" w:color="auto"/>
            </w:tcBorders>
            <w:shd w:val="clear" w:color="auto" w:fill="auto"/>
            <w:noWrap/>
            <w:vAlign w:val="center"/>
            <w:hideMark/>
          </w:tcPr>
          <w:p w14:paraId="590490A2"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23</w:t>
            </w:r>
          </w:p>
        </w:tc>
      </w:tr>
      <w:tr w:rsidR="00476D60" w:rsidRPr="00DE06E5" w14:paraId="7D27D2C1" w14:textId="77777777" w:rsidTr="00F83B44">
        <w:trPr>
          <w:trHeight w:val="57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00F0808"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 xml:space="preserve">Pourcentage d’enfants éligibles avec une carte contenant les 3 jours de traitement/ nombre total d’enfants éligibles </w:t>
            </w:r>
            <w:proofErr w:type="gramStart"/>
            <w:r w:rsidRPr="00DE06E5">
              <w:rPr>
                <w:rFonts w:ascii="Calibri Light" w:hAnsi="Calibri Light" w:cs="Calibri Light"/>
                <w:color w:val="000000"/>
                <w:lang w:val="fr-FR" w:eastAsia="en-GB"/>
              </w:rPr>
              <w:t>ayant  une</w:t>
            </w:r>
            <w:proofErr w:type="gramEnd"/>
            <w:r w:rsidRPr="00DE06E5">
              <w:rPr>
                <w:rFonts w:ascii="Calibri Light" w:hAnsi="Calibri Light" w:cs="Calibri Light"/>
                <w:color w:val="000000"/>
                <w:lang w:val="fr-FR" w:eastAsia="en-GB"/>
              </w:rPr>
              <w:t xml:space="preserve"> carte identifiés</w:t>
            </w:r>
          </w:p>
        </w:tc>
        <w:tc>
          <w:tcPr>
            <w:tcW w:w="1615" w:type="dxa"/>
            <w:tcBorders>
              <w:top w:val="nil"/>
              <w:left w:val="nil"/>
              <w:bottom w:val="single" w:sz="4" w:space="0" w:color="auto"/>
              <w:right w:val="single" w:sz="4" w:space="0" w:color="auto"/>
            </w:tcBorders>
            <w:shd w:val="clear" w:color="auto" w:fill="auto"/>
            <w:noWrap/>
            <w:vAlign w:val="center"/>
            <w:hideMark/>
          </w:tcPr>
          <w:p w14:paraId="4BB3DFD7"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Enfant</w:t>
            </w:r>
          </w:p>
        </w:tc>
        <w:tc>
          <w:tcPr>
            <w:tcW w:w="2260" w:type="dxa"/>
            <w:tcBorders>
              <w:top w:val="nil"/>
              <w:left w:val="nil"/>
              <w:bottom w:val="single" w:sz="4" w:space="0" w:color="auto"/>
              <w:right w:val="single" w:sz="4" w:space="0" w:color="auto"/>
            </w:tcBorders>
            <w:shd w:val="clear" w:color="auto" w:fill="auto"/>
            <w:noWrap/>
            <w:vAlign w:val="center"/>
            <w:hideMark/>
          </w:tcPr>
          <w:p w14:paraId="4E9F1924"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Enfant éligible atteint (Traitement jour 1)</w:t>
            </w:r>
          </w:p>
        </w:tc>
        <w:tc>
          <w:tcPr>
            <w:tcW w:w="945" w:type="dxa"/>
            <w:tcBorders>
              <w:top w:val="nil"/>
              <w:left w:val="nil"/>
              <w:bottom w:val="single" w:sz="4" w:space="0" w:color="auto"/>
              <w:right w:val="single" w:sz="4" w:space="0" w:color="auto"/>
            </w:tcBorders>
            <w:shd w:val="clear" w:color="auto" w:fill="auto"/>
            <w:noWrap/>
            <w:vAlign w:val="center"/>
            <w:hideMark/>
          </w:tcPr>
          <w:p w14:paraId="48945258"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23</w:t>
            </w:r>
          </w:p>
        </w:tc>
      </w:tr>
      <w:tr w:rsidR="00476D60" w:rsidRPr="00DE06E5" w14:paraId="7927D0FD" w14:textId="77777777" w:rsidTr="00F83B44">
        <w:trPr>
          <w:trHeight w:val="57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BCD3FAE"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Pourcentage des gardiennes acceptant la CPS = nombre d’enfants éligibles ayant reçu la CPS / nombre total d’enfants éligibles identifiés aléatoirement</w:t>
            </w:r>
          </w:p>
        </w:tc>
        <w:tc>
          <w:tcPr>
            <w:tcW w:w="1615" w:type="dxa"/>
            <w:tcBorders>
              <w:top w:val="nil"/>
              <w:left w:val="nil"/>
              <w:bottom w:val="single" w:sz="4" w:space="0" w:color="auto"/>
              <w:right w:val="single" w:sz="4" w:space="0" w:color="auto"/>
            </w:tcBorders>
            <w:shd w:val="clear" w:color="auto" w:fill="auto"/>
            <w:noWrap/>
            <w:vAlign w:val="center"/>
            <w:hideMark/>
          </w:tcPr>
          <w:p w14:paraId="0C10E2EF"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Enfant</w:t>
            </w:r>
          </w:p>
        </w:tc>
        <w:tc>
          <w:tcPr>
            <w:tcW w:w="2260" w:type="dxa"/>
            <w:tcBorders>
              <w:top w:val="nil"/>
              <w:left w:val="nil"/>
              <w:bottom w:val="single" w:sz="4" w:space="0" w:color="auto"/>
              <w:right w:val="single" w:sz="4" w:space="0" w:color="auto"/>
            </w:tcBorders>
            <w:shd w:val="clear" w:color="auto" w:fill="auto"/>
            <w:noWrap/>
            <w:vAlign w:val="center"/>
            <w:hideMark/>
          </w:tcPr>
          <w:p w14:paraId="7EDEB3E0"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Concession atteinte (sélection aléatoire d'un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40A79C66"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25</w:t>
            </w:r>
          </w:p>
        </w:tc>
      </w:tr>
      <w:tr w:rsidR="00476D60" w:rsidRPr="00DE06E5" w14:paraId="79949CDE" w14:textId="77777777" w:rsidTr="00F83B44">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789753F"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Proportion des gardiennes d’enfants ayant entendu parler de la CPS</w:t>
            </w:r>
          </w:p>
        </w:tc>
        <w:tc>
          <w:tcPr>
            <w:tcW w:w="1615" w:type="dxa"/>
            <w:tcBorders>
              <w:top w:val="nil"/>
              <w:left w:val="nil"/>
              <w:bottom w:val="single" w:sz="4" w:space="0" w:color="auto"/>
              <w:right w:val="single" w:sz="4" w:space="0" w:color="auto"/>
            </w:tcBorders>
            <w:shd w:val="clear" w:color="auto" w:fill="auto"/>
            <w:noWrap/>
            <w:vAlign w:val="center"/>
            <w:hideMark/>
          </w:tcPr>
          <w:p w14:paraId="3F63A4C3" w14:textId="77777777" w:rsidR="00476D60" w:rsidRPr="00DE06E5" w:rsidRDefault="00476D60" w:rsidP="00F83B44">
            <w:pPr>
              <w:rPr>
                <w:rFonts w:ascii="Calibri Light" w:hAnsi="Calibri Light" w:cs="Calibri Light"/>
                <w:color w:val="000000"/>
                <w:lang w:val="en-GB" w:eastAsia="en-GB"/>
              </w:rPr>
            </w:pPr>
            <w:proofErr w:type="spellStart"/>
            <w:r w:rsidRPr="00DE06E5">
              <w:rPr>
                <w:rFonts w:ascii="Calibri Light" w:hAnsi="Calibri Light" w:cs="Calibri Light"/>
                <w:color w:val="000000"/>
                <w:lang w:val="en-GB" w:eastAsia="en-GB"/>
              </w:rPr>
              <w:t>Gardienne</w:t>
            </w:r>
            <w:proofErr w:type="spellEnd"/>
            <w:r w:rsidRPr="00DE06E5">
              <w:rPr>
                <w:rFonts w:ascii="Calibri Light" w:hAnsi="Calibri Light" w:cs="Calibri Light"/>
                <w:color w:val="000000"/>
                <w:lang w:val="en-GB" w:eastAsia="en-GB"/>
              </w:rPr>
              <w:t xml:space="preserve"> d'enfant</w:t>
            </w:r>
          </w:p>
        </w:tc>
        <w:tc>
          <w:tcPr>
            <w:tcW w:w="2260" w:type="dxa"/>
            <w:tcBorders>
              <w:top w:val="nil"/>
              <w:left w:val="nil"/>
              <w:bottom w:val="single" w:sz="4" w:space="0" w:color="auto"/>
              <w:right w:val="single" w:sz="4" w:space="0" w:color="auto"/>
            </w:tcBorders>
            <w:shd w:val="clear" w:color="auto" w:fill="auto"/>
            <w:noWrap/>
            <w:vAlign w:val="center"/>
            <w:hideMark/>
          </w:tcPr>
          <w:p w14:paraId="6CB4B37D"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Ménage ayant 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6B56BCC4"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23</w:t>
            </w:r>
          </w:p>
        </w:tc>
      </w:tr>
      <w:tr w:rsidR="00476D60" w:rsidRPr="00DE06E5" w14:paraId="2EFD7816" w14:textId="77777777" w:rsidTr="00F83B44">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552DF9E"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Pourcentage des gardiennes ayant une bonne connaissance du but de la CPS</w:t>
            </w:r>
          </w:p>
        </w:tc>
        <w:tc>
          <w:tcPr>
            <w:tcW w:w="1615" w:type="dxa"/>
            <w:tcBorders>
              <w:top w:val="nil"/>
              <w:left w:val="nil"/>
              <w:bottom w:val="single" w:sz="4" w:space="0" w:color="auto"/>
              <w:right w:val="single" w:sz="4" w:space="0" w:color="auto"/>
            </w:tcBorders>
            <w:shd w:val="clear" w:color="auto" w:fill="auto"/>
            <w:noWrap/>
            <w:vAlign w:val="center"/>
            <w:hideMark/>
          </w:tcPr>
          <w:p w14:paraId="67598AAF" w14:textId="77777777" w:rsidR="00476D60" w:rsidRPr="00DE06E5" w:rsidRDefault="00476D60" w:rsidP="00F83B44">
            <w:pPr>
              <w:rPr>
                <w:rFonts w:ascii="Calibri Light" w:hAnsi="Calibri Light" w:cs="Calibri Light"/>
                <w:color w:val="000000"/>
                <w:lang w:val="en-GB" w:eastAsia="en-GB"/>
              </w:rPr>
            </w:pPr>
            <w:proofErr w:type="spellStart"/>
            <w:r w:rsidRPr="00DE06E5">
              <w:rPr>
                <w:rFonts w:ascii="Calibri Light" w:hAnsi="Calibri Light" w:cs="Calibri Light"/>
                <w:color w:val="000000"/>
                <w:lang w:val="en-GB" w:eastAsia="en-GB"/>
              </w:rPr>
              <w:t>Gardienne</w:t>
            </w:r>
            <w:proofErr w:type="spellEnd"/>
            <w:r w:rsidRPr="00DE06E5">
              <w:rPr>
                <w:rFonts w:ascii="Calibri Light" w:hAnsi="Calibri Light" w:cs="Calibri Light"/>
                <w:color w:val="000000"/>
                <w:lang w:val="en-GB" w:eastAsia="en-GB"/>
              </w:rPr>
              <w:t xml:space="preserve"> d'enfant</w:t>
            </w:r>
          </w:p>
        </w:tc>
        <w:tc>
          <w:tcPr>
            <w:tcW w:w="2260" w:type="dxa"/>
            <w:tcBorders>
              <w:top w:val="nil"/>
              <w:left w:val="nil"/>
              <w:bottom w:val="single" w:sz="4" w:space="0" w:color="auto"/>
              <w:right w:val="single" w:sz="4" w:space="0" w:color="auto"/>
            </w:tcBorders>
            <w:shd w:val="clear" w:color="auto" w:fill="auto"/>
            <w:noWrap/>
            <w:vAlign w:val="center"/>
            <w:hideMark/>
          </w:tcPr>
          <w:p w14:paraId="712A570E"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Ménage ayant 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005A9B1E"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23</w:t>
            </w:r>
          </w:p>
        </w:tc>
      </w:tr>
      <w:tr w:rsidR="00476D60" w:rsidRPr="00DE06E5" w14:paraId="4002F96A" w14:textId="77777777" w:rsidTr="00F83B44">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CF4A196"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lastRenderedPageBreak/>
              <w:t xml:space="preserve"> </w:t>
            </w:r>
            <w:r w:rsidRPr="00DE06E5">
              <w:rPr>
                <w:rFonts w:ascii="Calibri Light" w:hAnsi="Calibri Light" w:cs="Calibri Light"/>
                <w:color w:val="000000"/>
                <w:lang w:val="fr-FR" w:eastAsia="en-GB"/>
              </w:rPr>
              <w:t>Pourcentage des gardiennes connaissant la tranche d’âge éligible à la CPS</w:t>
            </w:r>
          </w:p>
        </w:tc>
        <w:tc>
          <w:tcPr>
            <w:tcW w:w="1615" w:type="dxa"/>
            <w:tcBorders>
              <w:top w:val="nil"/>
              <w:left w:val="nil"/>
              <w:bottom w:val="single" w:sz="4" w:space="0" w:color="auto"/>
              <w:right w:val="single" w:sz="4" w:space="0" w:color="auto"/>
            </w:tcBorders>
            <w:shd w:val="clear" w:color="auto" w:fill="auto"/>
            <w:noWrap/>
            <w:vAlign w:val="center"/>
            <w:hideMark/>
          </w:tcPr>
          <w:p w14:paraId="5FE7C531" w14:textId="77777777" w:rsidR="00476D60" w:rsidRPr="00DE06E5" w:rsidRDefault="00476D60" w:rsidP="00F83B44">
            <w:pPr>
              <w:rPr>
                <w:rFonts w:ascii="Calibri Light" w:hAnsi="Calibri Light" w:cs="Calibri Light"/>
                <w:color w:val="000000"/>
                <w:lang w:val="en-GB" w:eastAsia="en-GB"/>
              </w:rPr>
            </w:pPr>
            <w:proofErr w:type="spellStart"/>
            <w:r w:rsidRPr="00DE06E5">
              <w:rPr>
                <w:rFonts w:ascii="Calibri Light" w:hAnsi="Calibri Light" w:cs="Calibri Light"/>
                <w:color w:val="000000"/>
                <w:lang w:val="en-GB" w:eastAsia="en-GB"/>
              </w:rPr>
              <w:t>Gardienne</w:t>
            </w:r>
            <w:proofErr w:type="spellEnd"/>
            <w:r w:rsidRPr="00DE06E5">
              <w:rPr>
                <w:rFonts w:ascii="Calibri Light" w:hAnsi="Calibri Light" w:cs="Calibri Light"/>
                <w:color w:val="000000"/>
                <w:lang w:val="en-GB" w:eastAsia="en-GB"/>
              </w:rPr>
              <w:t xml:space="preserve"> d'enfant</w:t>
            </w:r>
          </w:p>
        </w:tc>
        <w:tc>
          <w:tcPr>
            <w:tcW w:w="2260" w:type="dxa"/>
            <w:tcBorders>
              <w:top w:val="nil"/>
              <w:left w:val="nil"/>
              <w:bottom w:val="single" w:sz="4" w:space="0" w:color="auto"/>
              <w:right w:val="single" w:sz="4" w:space="0" w:color="auto"/>
            </w:tcBorders>
            <w:shd w:val="clear" w:color="auto" w:fill="auto"/>
            <w:noWrap/>
            <w:vAlign w:val="center"/>
            <w:hideMark/>
          </w:tcPr>
          <w:p w14:paraId="5984D080"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Ménage ayant 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573FA753"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21</w:t>
            </w:r>
          </w:p>
        </w:tc>
      </w:tr>
      <w:tr w:rsidR="00476D60" w:rsidRPr="00DE06E5" w14:paraId="7E3B9793" w14:textId="77777777" w:rsidTr="00F83B44">
        <w:trPr>
          <w:trHeight w:val="57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D271E51"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Pourcentage des gardiennes connaissant l’importance de l’éligibilité d’âge d’enfant pour la CPS</w:t>
            </w:r>
          </w:p>
        </w:tc>
        <w:tc>
          <w:tcPr>
            <w:tcW w:w="1615" w:type="dxa"/>
            <w:tcBorders>
              <w:top w:val="nil"/>
              <w:left w:val="nil"/>
              <w:bottom w:val="single" w:sz="4" w:space="0" w:color="auto"/>
              <w:right w:val="single" w:sz="4" w:space="0" w:color="auto"/>
            </w:tcBorders>
            <w:shd w:val="clear" w:color="auto" w:fill="auto"/>
            <w:noWrap/>
            <w:vAlign w:val="center"/>
            <w:hideMark/>
          </w:tcPr>
          <w:p w14:paraId="70C2D5DA" w14:textId="77777777" w:rsidR="00476D60" w:rsidRPr="00DE06E5" w:rsidRDefault="00476D60" w:rsidP="00F83B44">
            <w:pPr>
              <w:rPr>
                <w:rFonts w:ascii="Calibri Light" w:hAnsi="Calibri Light" w:cs="Calibri Light"/>
                <w:color w:val="000000"/>
                <w:lang w:val="en-GB" w:eastAsia="en-GB"/>
              </w:rPr>
            </w:pPr>
            <w:proofErr w:type="spellStart"/>
            <w:r w:rsidRPr="00DE06E5">
              <w:rPr>
                <w:rFonts w:ascii="Calibri Light" w:hAnsi="Calibri Light" w:cs="Calibri Light"/>
                <w:color w:val="000000"/>
                <w:lang w:val="en-GB" w:eastAsia="en-GB"/>
              </w:rPr>
              <w:t>Gardienne</w:t>
            </w:r>
            <w:proofErr w:type="spellEnd"/>
            <w:r w:rsidRPr="00DE06E5">
              <w:rPr>
                <w:rFonts w:ascii="Calibri Light" w:hAnsi="Calibri Light" w:cs="Calibri Light"/>
                <w:color w:val="000000"/>
                <w:lang w:val="en-GB" w:eastAsia="en-GB"/>
              </w:rPr>
              <w:t xml:space="preserve"> d'enfant</w:t>
            </w:r>
          </w:p>
        </w:tc>
        <w:tc>
          <w:tcPr>
            <w:tcW w:w="2260" w:type="dxa"/>
            <w:tcBorders>
              <w:top w:val="nil"/>
              <w:left w:val="nil"/>
              <w:bottom w:val="single" w:sz="4" w:space="0" w:color="auto"/>
              <w:right w:val="single" w:sz="4" w:space="0" w:color="auto"/>
            </w:tcBorders>
            <w:shd w:val="clear" w:color="auto" w:fill="auto"/>
            <w:noWrap/>
            <w:vAlign w:val="center"/>
            <w:hideMark/>
          </w:tcPr>
          <w:p w14:paraId="7D92F085"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Ménage ayant 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092226EA"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21</w:t>
            </w:r>
          </w:p>
        </w:tc>
      </w:tr>
      <w:tr w:rsidR="00476D60" w:rsidRPr="00DE06E5" w14:paraId="4825C796" w14:textId="77777777" w:rsidTr="00F83B44">
        <w:trPr>
          <w:trHeight w:val="57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32E7ED"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Pourcentage des gardiennes connaissant l’importance de l’administration de traitement de jours 2 et 3</w:t>
            </w:r>
          </w:p>
        </w:tc>
        <w:tc>
          <w:tcPr>
            <w:tcW w:w="1615" w:type="dxa"/>
            <w:tcBorders>
              <w:top w:val="nil"/>
              <w:left w:val="nil"/>
              <w:bottom w:val="single" w:sz="4" w:space="0" w:color="auto"/>
              <w:right w:val="single" w:sz="4" w:space="0" w:color="auto"/>
            </w:tcBorders>
            <w:shd w:val="clear" w:color="auto" w:fill="auto"/>
            <w:noWrap/>
            <w:vAlign w:val="center"/>
            <w:hideMark/>
          </w:tcPr>
          <w:p w14:paraId="6EF83CF2" w14:textId="77777777" w:rsidR="00476D60" w:rsidRPr="00DE06E5" w:rsidRDefault="00476D60" w:rsidP="00F83B44">
            <w:pPr>
              <w:rPr>
                <w:rFonts w:ascii="Calibri Light" w:hAnsi="Calibri Light" w:cs="Calibri Light"/>
                <w:color w:val="000000"/>
                <w:lang w:val="en-GB" w:eastAsia="en-GB"/>
              </w:rPr>
            </w:pPr>
            <w:proofErr w:type="spellStart"/>
            <w:r w:rsidRPr="00DE06E5">
              <w:rPr>
                <w:rFonts w:ascii="Calibri Light" w:hAnsi="Calibri Light" w:cs="Calibri Light"/>
                <w:color w:val="000000"/>
                <w:lang w:val="en-GB" w:eastAsia="en-GB"/>
              </w:rPr>
              <w:t>Gardienne</w:t>
            </w:r>
            <w:proofErr w:type="spellEnd"/>
            <w:r w:rsidRPr="00DE06E5">
              <w:rPr>
                <w:rFonts w:ascii="Calibri Light" w:hAnsi="Calibri Light" w:cs="Calibri Light"/>
                <w:color w:val="000000"/>
                <w:lang w:val="en-GB" w:eastAsia="en-GB"/>
              </w:rPr>
              <w:t xml:space="preserve"> d'enfant</w:t>
            </w:r>
          </w:p>
        </w:tc>
        <w:tc>
          <w:tcPr>
            <w:tcW w:w="2260" w:type="dxa"/>
            <w:tcBorders>
              <w:top w:val="nil"/>
              <w:left w:val="nil"/>
              <w:bottom w:val="single" w:sz="4" w:space="0" w:color="auto"/>
              <w:right w:val="single" w:sz="4" w:space="0" w:color="auto"/>
            </w:tcBorders>
            <w:shd w:val="clear" w:color="auto" w:fill="auto"/>
            <w:noWrap/>
            <w:vAlign w:val="center"/>
            <w:hideMark/>
          </w:tcPr>
          <w:p w14:paraId="4447058D"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Ménage ayant 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73ACD2F4"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21</w:t>
            </w:r>
          </w:p>
        </w:tc>
      </w:tr>
      <w:tr w:rsidR="00476D60" w:rsidRPr="00DE06E5" w14:paraId="4713868A" w14:textId="77777777" w:rsidTr="00F83B44">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C66A386"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Pourcentage de gardiennes connaissant les effets secondaires</w:t>
            </w:r>
          </w:p>
        </w:tc>
        <w:tc>
          <w:tcPr>
            <w:tcW w:w="1615" w:type="dxa"/>
            <w:tcBorders>
              <w:top w:val="nil"/>
              <w:left w:val="nil"/>
              <w:bottom w:val="single" w:sz="4" w:space="0" w:color="auto"/>
              <w:right w:val="single" w:sz="4" w:space="0" w:color="auto"/>
            </w:tcBorders>
            <w:shd w:val="clear" w:color="auto" w:fill="auto"/>
            <w:noWrap/>
            <w:vAlign w:val="center"/>
            <w:hideMark/>
          </w:tcPr>
          <w:p w14:paraId="389C4A4F" w14:textId="77777777" w:rsidR="00476D60" w:rsidRPr="00DE06E5" w:rsidRDefault="00476D60" w:rsidP="00F83B44">
            <w:pPr>
              <w:rPr>
                <w:rFonts w:ascii="Calibri Light" w:hAnsi="Calibri Light" w:cs="Calibri Light"/>
                <w:color w:val="000000"/>
                <w:lang w:val="en-GB" w:eastAsia="en-GB"/>
              </w:rPr>
            </w:pPr>
            <w:proofErr w:type="spellStart"/>
            <w:r w:rsidRPr="00DE06E5">
              <w:rPr>
                <w:rFonts w:ascii="Calibri Light" w:hAnsi="Calibri Light" w:cs="Calibri Light"/>
                <w:color w:val="000000"/>
                <w:lang w:val="en-GB" w:eastAsia="en-GB"/>
              </w:rPr>
              <w:t>Gardienne</w:t>
            </w:r>
            <w:proofErr w:type="spellEnd"/>
            <w:r w:rsidRPr="00DE06E5">
              <w:rPr>
                <w:rFonts w:ascii="Calibri Light" w:hAnsi="Calibri Light" w:cs="Calibri Light"/>
                <w:color w:val="000000"/>
                <w:lang w:val="en-GB" w:eastAsia="en-GB"/>
              </w:rPr>
              <w:t xml:space="preserve"> d'enfant</w:t>
            </w:r>
          </w:p>
        </w:tc>
        <w:tc>
          <w:tcPr>
            <w:tcW w:w="2260" w:type="dxa"/>
            <w:tcBorders>
              <w:top w:val="nil"/>
              <w:left w:val="nil"/>
              <w:bottom w:val="single" w:sz="4" w:space="0" w:color="auto"/>
              <w:right w:val="single" w:sz="4" w:space="0" w:color="auto"/>
            </w:tcBorders>
            <w:shd w:val="clear" w:color="auto" w:fill="auto"/>
            <w:noWrap/>
            <w:vAlign w:val="center"/>
            <w:hideMark/>
          </w:tcPr>
          <w:p w14:paraId="5EDB91A3"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Ménage ayant 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286F0B5C"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21</w:t>
            </w:r>
          </w:p>
        </w:tc>
      </w:tr>
      <w:tr w:rsidR="00476D60" w:rsidRPr="00DE06E5" w14:paraId="3E6FADA6" w14:textId="77777777" w:rsidTr="00F83B44">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31D25DD"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Pourcentage des gardiennes reconnaissant l’efficacité de la CPS</w:t>
            </w:r>
          </w:p>
        </w:tc>
        <w:tc>
          <w:tcPr>
            <w:tcW w:w="1615" w:type="dxa"/>
            <w:tcBorders>
              <w:top w:val="nil"/>
              <w:left w:val="nil"/>
              <w:bottom w:val="single" w:sz="4" w:space="0" w:color="auto"/>
              <w:right w:val="single" w:sz="4" w:space="0" w:color="auto"/>
            </w:tcBorders>
            <w:shd w:val="clear" w:color="auto" w:fill="auto"/>
            <w:noWrap/>
            <w:vAlign w:val="center"/>
            <w:hideMark/>
          </w:tcPr>
          <w:p w14:paraId="20425EF0" w14:textId="77777777" w:rsidR="00476D60" w:rsidRPr="00DE06E5" w:rsidRDefault="00476D60" w:rsidP="00F83B44">
            <w:pPr>
              <w:rPr>
                <w:rFonts w:ascii="Calibri Light" w:hAnsi="Calibri Light" w:cs="Calibri Light"/>
                <w:color w:val="000000"/>
                <w:lang w:val="en-GB" w:eastAsia="en-GB"/>
              </w:rPr>
            </w:pPr>
            <w:proofErr w:type="spellStart"/>
            <w:r w:rsidRPr="00DE06E5">
              <w:rPr>
                <w:rFonts w:ascii="Calibri Light" w:hAnsi="Calibri Light" w:cs="Calibri Light"/>
                <w:color w:val="000000"/>
                <w:lang w:val="en-GB" w:eastAsia="en-GB"/>
              </w:rPr>
              <w:t>Gardienne</w:t>
            </w:r>
            <w:proofErr w:type="spellEnd"/>
            <w:r w:rsidRPr="00DE06E5">
              <w:rPr>
                <w:rFonts w:ascii="Calibri Light" w:hAnsi="Calibri Light" w:cs="Calibri Light"/>
                <w:color w:val="000000"/>
                <w:lang w:val="en-GB" w:eastAsia="en-GB"/>
              </w:rPr>
              <w:t xml:space="preserve"> d'enfant</w:t>
            </w:r>
          </w:p>
        </w:tc>
        <w:tc>
          <w:tcPr>
            <w:tcW w:w="2260" w:type="dxa"/>
            <w:tcBorders>
              <w:top w:val="nil"/>
              <w:left w:val="nil"/>
              <w:bottom w:val="single" w:sz="4" w:space="0" w:color="auto"/>
              <w:right w:val="single" w:sz="4" w:space="0" w:color="auto"/>
            </w:tcBorders>
            <w:shd w:val="clear" w:color="auto" w:fill="auto"/>
            <w:noWrap/>
            <w:vAlign w:val="center"/>
            <w:hideMark/>
          </w:tcPr>
          <w:p w14:paraId="2D40D3E3"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Ménage ayant 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2B0D75DF"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22</w:t>
            </w:r>
          </w:p>
        </w:tc>
      </w:tr>
      <w:tr w:rsidR="00476D60" w:rsidRPr="00DE06E5" w14:paraId="3B47CD0C" w14:textId="77777777" w:rsidTr="00F83B44">
        <w:trPr>
          <w:trHeight w:val="57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D6597A3"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Pourcentage des gardiennes ayant déclaré que les agents de santé distributeurs portaient un masque</w:t>
            </w:r>
          </w:p>
        </w:tc>
        <w:tc>
          <w:tcPr>
            <w:tcW w:w="1615" w:type="dxa"/>
            <w:tcBorders>
              <w:top w:val="nil"/>
              <w:left w:val="nil"/>
              <w:bottom w:val="single" w:sz="4" w:space="0" w:color="auto"/>
              <w:right w:val="single" w:sz="4" w:space="0" w:color="auto"/>
            </w:tcBorders>
            <w:shd w:val="clear" w:color="auto" w:fill="auto"/>
            <w:noWrap/>
            <w:vAlign w:val="center"/>
            <w:hideMark/>
          </w:tcPr>
          <w:p w14:paraId="1D773C5B" w14:textId="77777777" w:rsidR="00476D60" w:rsidRPr="00DE06E5" w:rsidRDefault="00476D60" w:rsidP="00F83B44">
            <w:pPr>
              <w:rPr>
                <w:rFonts w:ascii="Calibri Light" w:hAnsi="Calibri Light" w:cs="Calibri Light"/>
                <w:color w:val="000000"/>
                <w:lang w:val="en-GB" w:eastAsia="en-GB"/>
              </w:rPr>
            </w:pPr>
            <w:proofErr w:type="spellStart"/>
            <w:r w:rsidRPr="00DE06E5">
              <w:rPr>
                <w:rFonts w:ascii="Calibri Light" w:hAnsi="Calibri Light" w:cs="Calibri Light"/>
                <w:color w:val="000000"/>
                <w:lang w:val="en-GB" w:eastAsia="en-GB"/>
              </w:rPr>
              <w:t>Gardienne</w:t>
            </w:r>
            <w:proofErr w:type="spellEnd"/>
            <w:r w:rsidRPr="00DE06E5">
              <w:rPr>
                <w:rFonts w:ascii="Calibri Light" w:hAnsi="Calibri Light" w:cs="Calibri Light"/>
                <w:color w:val="000000"/>
                <w:lang w:val="en-GB" w:eastAsia="en-GB"/>
              </w:rPr>
              <w:t xml:space="preserve"> d'enfant</w:t>
            </w:r>
          </w:p>
        </w:tc>
        <w:tc>
          <w:tcPr>
            <w:tcW w:w="2260" w:type="dxa"/>
            <w:tcBorders>
              <w:top w:val="nil"/>
              <w:left w:val="nil"/>
              <w:bottom w:val="single" w:sz="4" w:space="0" w:color="auto"/>
              <w:right w:val="single" w:sz="4" w:space="0" w:color="auto"/>
            </w:tcBorders>
            <w:shd w:val="clear" w:color="auto" w:fill="auto"/>
            <w:noWrap/>
            <w:vAlign w:val="center"/>
            <w:hideMark/>
          </w:tcPr>
          <w:p w14:paraId="0253375E"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Concession atteinte (sélection aléatoire d'un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4D7FCF7D"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23</w:t>
            </w:r>
          </w:p>
        </w:tc>
      </w:tr>
      <w:tr w:rsidR="00476D60" w:rsidRPr="00DE06E5" w14:paraId="5DD2588C" w14:textId="77777777" w:rsidTr="00F83B44">
        <w:trPr>
          <w:trHeight w:val="57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C921FA6"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Pourcentage des gardiennes ayant déclaré avoir reçu d’information de prévention de COVID-19 des agents de santé communautaire</w:t>
            </w:r>
          </w:p>
        </w:tc>
        <w:tc>
          <w:tcPr>
            <w:tcW w:w="1615" w:type="dxa"/>
            <w:tcBorders>
              <w:top w:val="nil"/>
              <w:left w:val="nil"/>
              <w:bottom w:val="single" w:sz="4" w:space="0" w:color="auto"/>
              <w:right w:val="single" w:sz="4" w:space="0" w:color="auto"/>
            </w:tcBorders>
            <w:shd w:val="clear" w:color="auto" w:fill="auto"/>
            <w:noWrap/>
            <w:vAlign w:val="center"/>
            <w:hideMark/>
          </w:tcPr>
          <w:p w14:paraId="1CD4F86D" w14:textId="77777777" w:rsidR="00476D60" w:rsidRPr="00DE06E5" w:rsidRDefault="00476D60" w:rsidP="00F83B44">
            <w:pPr>
              <w:rPr>
                <w:rFonts w:ascii="Calibri Light" w:hAnsi="Calibri Light" w:cs="Calibri Light"/>
                <w:color w:val="000000"/>
                <w:lang w:val="en-GB" w:eastAsia="en-GB"/>
              </w:rPr>
            </w:pPr>
            <w:proofErr w:type="spellStart"/>
            <w:r w:rsidRPr="00DE06E5">
              <w:rPr>
                <w:rFonts w:ascii="Calibri Light" w:hAnsi="Calibri Light" w:cs="Calibri Light"/>
                <w:color w:val="000000"/>
                <w:lang w:val="en-GB" w:eastAsia="en-GB"/>
              </w:rPr>
              <w:t>Gardienne</w:t>
            </w:r>
            <w:proofErr w:type="spellEnd"/>
            <w:r w:rsidRPr="00DE06E5">
              <w:rPr>
                <w:rFonts w:ascii="Calibri Light" w:hAnsi="Calibri Light" w:cs="Calibri Light"/>
                <w:color w:val="000000"/>
                <w:lang w:val="en-GB" w:eastAsia="en-GB"/>
              </w:rPr>
              <w:t xml:space="preserve"> d'enfant</w:t>
            </w:r>
          </w:p>
        </w:tc>
        <w:tc>
          <w:tcPr>
            <w:tcW w:w="2260" w:type="dxa"/>
            <w:tcBorders>
              <w:top w:val="nil"/>
              <w:left w:val="nil"/>
              <w:bottom w:val="single" w:sz="4" w:space="0" w:color="auto"/>
              <w:right w:val="single" w:sz="4" w:space="0" w:color="auto"/>
            </w:tcBorders>
            <w:shd w:val="clear" w:color="auto" w:fill="auto"/>
            <w:noWrap/>
            <w:vAlign w:val="center"/>
            <w:hideMark/>
          </w:tcPr>
          <w:p w14:paraId="314B2E43"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Concession atteinte (sélection aléatoire d'un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2C3A90D0"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23</w:t>
            </w:r>
          </w:p>
        </w:tc>
      </w:tr>
    </w:tbl>
    <w:p w14:paraId="699BDCA8" w14:textId="77777777" w:rsidR="00476D60" w:rsidRPr="007104FF" w:rsidRDefault="00476D60" w:rsidP="00476D60">
      <w:pPr>
        <w:spacing w:after="200"/>
        <w:jc w:val="both"/>
        <w:rPr>
          <w:rFonts w:ascii="Candara" w:hAnsi="Candara" w:cs="Calibri"/>
          <w:sz w:val="24"/>
          <w:szCs w:val="24"/>
          <w:lang w:val="fr-FR"/>
        </w:rPr>
      </w:pPr>
    </w:p>
    <w:p w14:paraId="1B6D0528" w14:textId="77777777" w:rsidR="00476D60" w:rsidRPr="007104FF" w:rsidRDefault="00476D60" w:rsidP="00476D60">
      <w:pPr>
        <w:spacing w:after="200" w:line="276" w:lineRule="auto"/>
        <w:jc w:val="both"/>
        <w:rPr>
          <w:rFonts w:ascii="Candara" w:hAnsi="Candara" w:cs="Calibri"/>
          <w:b/>
          <w:sz w:val="24"/>
          <w:szCs w:val="24"/>
          <w:lang w:val="fr-FR"/>
        </w:rPr>
      </w:pPr>
      <w:r w:rsidRPr="007104FF">
        <w:rPr>
          <w:rFonts w:ascii="Candara" w:hAnsi="Candara" w:cs="Calibri"/>
          <w:b/>
          <w:sz w:val="24"/>
          <w:szCs w:val="24"/>
          <w:lang w:val="fr-FR"/>
        </w:rPr>
        <w:t>Rôles et responsabilités pour la mise en œuvre technique</w:t>
      </w:r>
    </w:p>
    <w:p w14:paraId="406B8721" w14:textId="77777777" w:rsidR="00476D60" w:rsidRPr="007104FF" w:rsidRDefault="00476D60" w:rsidP="00476D60">
      <w:pPr>
        <w:numPr>
          <w:ilvl w:val="0"/>
          <w:numId w:val="26"/>
        </w:numPr>
        <w:spacing w:after="200" w:line="276" w:lineRule="auto"/>
        <w:jc w:val="both"/>
        <w:rPr>
          <w:rFonts w:ascii="Candara" w:hAnsi="Candara" w:cs="Calibri"/>
          <w:b/>
          <w:sz w:val="24"/>
          <w:szCs w:val="24"/>
          <w:lang w:val="fr-FR"/>
        </w:rPr>
      </w:pPr>
      <w:r w:rsidRPr="007104FF">
        <w:rPr>
          <w:rFonts w:ascii="Candara" w:hAnsi="Candara" w:cs="Calibri"/>
          <w:b/>
          <w:sz w:val="24"/>
          <w:szCs w:val="24"/>
          <w:lang w:val="fr-FR"/>
        </w:rPr>
        <w:t>Responsabilité de Malaria Consortium</w:t>
      </w:r>
    </w:p>
    <w:p w14:paraId="782BCE48" w14:textId="77777777" w:rsidR="00476D60" w:rsidRPr="00A06912" w:rsidRDefault="00476D60" w:rsidP="00476D60">
      <w:pPr>
        <w:spacing w:line="276" w:lineRule="auto"/>
        <w:jc w:val="both"/>
        <w:rPr>
          <w:rFonts w:ascii="Candara" w:hAnsi="Candara" w:cs="Calibri"/>
          <w:color w:val="0D0D0D"/>
          <w:lang w:val="fr-FR"/>
        </w:rPr>
      </w:pPr>
      <w:r w:rsidRPr="00A06912">
        <w:rPr>
          <w:rFonts w:ascii="Candara" w:hAnsi="Candara" w:cs="Calibri"/>
          <w:color w:val="0D0D0D"/>
          <w:lang w:val="fr-FR"/>
        </w:rPr>
        <w:t>Malaria Consortium sera responsable de la conceptualisation de l’enquête, de la conception du questionnaire numérique et de l’accès à la plate-forme numérique (</w:t>
      </w:r>
      <w:proofErr w:type="spellStart"/>
      <w:r w:rsidRPr="00A06912">
        <w:rPr>
          <w:rFonts w:ascii="Candara" w:hAnsi="Candara" w:cs="Calibri"/>
          <w:color w:val="0D0D0D"/>
          <w:lang w:val="fr-FR"/>
        </w:rPr>
        <w:t>SurveyCTO</w:t>
      </w:r>
      <w:proofErr w:type="spellEnd"/>
      <w:r w:rsidRPr="00A06912">
        <w:rPr>
          <w:rFonts w:ascii="Candara" w:hAnsi="Candara" w:cs="Calibri"/>
          <w:color w:val="0D0D0D"/>
          <w:lang w:val="fr-FR"/>
        </w:rPr>
        <w:t xml:space="preserve">), qui sera tous disponible pour l'enquête. Malaria Consortium </w:t>
      </w:r>
      <w:proofErr w:type="spellStart"/>
      <w:r w:rsidRPr="00A06912">
        <w:rPr>
          <w:rFonts w:ascii="Candara" w:hAnsi="Candara" w:cs="Calibri"/>
          <w:color w:val="0D0D0D"/>
          <w:lang w:val="fr-FR"/>
        </w:rPr>
        <w:t>co</w:t>
      </w:r>
      <w:proofErr w:type="spellEnd"/>
      <w:r w:rsidRPr="00A06912">
        <w:rPr>
          <w:rFonts w:ascii="Candara" w:hAnsi="Candara" w:cs="Calibri"/>
          <w:color w:val="0D0D0D"/>
          <w:lang w:val="fr-FR"/>
        </w:rPr>
        <w:t xml:space="preserve">-facilitera la formation des enquêteurs à l'utilisation de </w:t>
      </w:r>
      <w:proofErr w:type="spellStart"/>
      <w:r w:rsidRPr="00A06912">
        <w:rPr>
          <w:rFonts w:ascii="Candara" w:hAnsi="Candara" w:cs="Calibri"/>
          <w:color w:val="0D0D0D"/>
          <w:lang w:val="fr-FR"/>
        </w:rPr>
        <w:t>SurveyCTO</w:t>
      </w:r>
      <w:proofErr w:type="spellEnd"/>
      <w:r w:rsidRPr="00A06912">
        <w:rPr>
          <w:rFonts w:ascii="Candara" w:hAnsi="Candara" w:cs="Calibri"/>
          <w:color w:val="0D0D0D"/>
          <w:lang w:val="fr-FR"/>
        </w:rPr>
        <w:t xml:space="preserve"> et à l'utilisation des questionnaires.</w:t>
      </w:r>
    </w:p>
    <w:p w14:paraId="4395A36E" w14:textId="77777777" w:rsidR="00476D60" w:rsidRPr="00A06912" w:rsidRDefault="00476D60" w:rsidP="00476D60">
      <w:pPr>
        <w:spacing w:line="276" w:lineRule="auto"/>
        <w:jc w:val="both"/>
        <w:rPr>
          <w:rFonts w:ascii="Candara" w:hAnsi="Candara" w:cs="Calibri"/>
          <w:color w:val="0D0D0D"/>
          <w:lang w:val="fr-FR"/>
        </w:rPr>
      </w:pPr>
      <w:r w:rsidRPr="00A06912">
        <w:rPr>
          <w:rFonts w:ascii="Candara" w:hAnsi="Candara" w:cs="Calibri"/>
          <w:color w:val="0D0D0D"/>
          <w:lang w:val="fr-FR"/>
        </w:rPr>
        <w:t>Pour faciliter la réalisation de cette étude, Malaria Consortium demandera l’autorisation auprès du Programme National de Lutte contre le Paludisme et informera ses partenaires (Délégations Provinciales de la Santé et Districts de Santé).</w:t>
      </w:r>
    </w:p>
    <w:p w14:paraId="5EAB95CA" w14:textId="77777777" w:rsidR="00476D60" w:rsidRPr="00902A9B" w:rsidRDefault="00476D60" w:rsidP="00476D60">
      <w:pPr>
        <w:spacing w:line="276" w:lineRule="auto"/>
        <w:jc w:val="both"/>
        <w:rPr>
          <w:rFonts w:ascii="Candara" w:hAnsi="Candara" w:cs="Calibri"/>
          <w:color w:val="0D0D0D"/>
          <w:sz w:val="24"/>
          <w:szCs w:val="24"/>
          <w:lang w:val="fr-FR"/>
        </w:rPr>
      </w:pPr>
    </w:p>
    <w:p w14:paraId="779E569F" w14:textId="77777777" w:rsidR="00476D60" w:rsidRPr="007104FF" w:rsidRDefault="00476D60" w:rsidP="00476D60">
      <w:pPr>
        <w:numPr>
          <w:ilvl w:val="0"/>
          <w:numId w:val="26"/>
        </w:numPr>
        <w:spacing w:after="200" w:line="276" w:lineRule="auto"/>
        <w:jc w:val="both"/>
        <w:rPr>
          <w:rFonts w:ascii="Candara" w:hAnsi="Candara" w:cs="Calibri"/>
          <w:b/>
          <w:sz w:val="24"/>
          <w:szCs w:val="24"/>
          <w:lang w:val="fr-FR"/>
        </w:rPr>
      </w:pPr>
      <w:r w:rsidRPr="007104FF">
        <w:rPr>
          <w:rFonts w:ascii="Candara" w:hAnsi="Candara" w:cs="Calibri"/>
          <w:b/>
          <w:sz w:val="24"/>
          <w:szCs w:val="24"/>
          <w:lang w:val="fr-FR"/>
        </w:rPr>
        <w:t xml:space="preserve">Responsabilités du </w:t>
      </w:r>
      <w:r>
        <w:rPr>
          <w:rFonts w:ascii="Candara" w:hAnsi="Candara" w:cs="Calibri"/>
          <w:b/>
          <w:sz w:val="24"/>
          <w:szCs w:val="24"/>
          <w:lang w:val="fr-FR"/>
        </w:rPr>
        <w:t>Cabinet</w:t>
      </w:r>
    </w:p>
    <w:p w14:paraId="106E15B7" w14:textId="77777777" w:rsidR="00476D60" w:rsidRPr="00A06912" w:rsidRDefault="00476D60" w:rsidP="00476D60">
      <w:pPr>
        <w:spacing w:after="200" w:line="276" w:lineRule="auto"/>
        <w:jc w:val="both"/>
        <w:rPr>
          <w:rFonts w:ascii="Candara" w:hAnsi="Candara" w:cs="Calibri"/>
          <w:lang w:val="fr-FR"/>
        </w:rPr>
      </w:pPr>
      <w:r w:rsidRPr="00A06912">
        <w:rPr>
          <w:rFonts w:ascii="Candara" w:hAnsi="Candara" w:cs="Calibri"/>
          <w:lang w:val="fr-FR"/>
        </w:rPr>
        <w:t>Le Cabinet accepte de mener de façon rigoureuse l’enquête de couverture CPS dans les 20 Districts de santé répartis dans 4 Délégations provinciales de santé et d’exécuter les tâches décrites dans le présent contrat.</w:t>
      </w:r>
    </w:p>
    <w:p w14:paraId="6A43BC02" w14:textId="77777777" w:rsidR="00476D60" w:rsidRPr="007104FF" w:rsidRDefault="00476D60" w:rsidP="00476D60">
      <w:pPr>
        <w:spacing w:line="276" w:lineRule="auto"/>
        <w:jc w:val="both"/>
        <w:rPr>
          <w:rFonts w:ascii="Candara" w:hAnsi="Candara" w:cs="Calibri"/>
          <w:b/>
          <w:i/>
          <w:sz w:val="24"/>
          <w:szCs w:val="24"/>
          <w:u w:val="single"/>
          <w:lang w:val="fr-FR"/>
        </w:rPr>
      </w:pPr>
      <w:r w:rsidRPr="007104FF">
        <w:rPr>
          <w:rFonts w:ascii="Candara" w:hAnsi="Candara" w:cs="Calibri"/>
          <w:b/>
          <w:i/>
          <w:sz w:val="24"/>
          <w:szCs w:val="24"/>
          <w:u w:val="single"/>
          <w:lang w:val="fr-FR"/>
        </w:rPr>
        <w:t xml:space="preserve">Collecte et stockage de données </w:t>
      </w:r>
    </w:p>
    <w:p w14:paraId="43909136" w14:textId="77777777" w:rsidR="00476D60" w:rsidRPr="007104FF" w:rsidRDefault="00476D60" w:rsidP="00476D60">
      <w:pPr>
        <w:spacing w:line="276" w:lineRule="auto"/>
        <w:jc w:val="both"/>
        <w:rPr>
          <w:rFonts w:ascii="Candara" w:hAnsi="Candara" w:cs="Calibri"/>
          <w:sz w:val="24"/>
          <w:szCs w:val="24"/>
          <w:lang w:val="fr-FR"/>
        </w:rPr>
      </w:pPr>
    </w:p>
    <w:p w14:paraId="1C1FA175" w14:textId="77777777" w:rsidR="00476D60" w:rsidRPr="00A06912" w:rsidRDefault="00476D60" w:rsidP="00476D60">
      <w:pPr>
        <w:spacing w:line="276" w:lineRule="auto"/>
        <w:jc w:val="both"/>
        <w:rPr>
          <w:rFonts w:ascii="Candara" w:hAnsi="Candara" w:cs="Calibri"/>
          <w:lang w:val="fr-FR"/>
        </w:rPr>
      </w:pPr>
      <w:r w:rsidRPr="00A06912">
        <w:rPr>
          <w:rFonts w:ascii="Candara" w:hAnsi="Candara" w:cs="Calibri"/>
          <w:lang w:val="fr-FR"/>
        </w:rPr>
        <w:t>Les données seront recueillies numériquement, très probablement en mode hors connexion et puis transférées à un serveur via un réseau mobile ou Wi-Fi à l’aide d’appareils mobiles, selon la disponibilité. Des appareils de poche numériques (smartphones) seront mis à disposition par Malaria Consortium.</w:t>
      </w:r>
    </w:p>
    <w:p w14:paraId="0481BB02" w14:textId="77777777" w:rsidR="00476D60" w:rsidRPr="00A06912" w:rsidRDefault="00476D60" w:rsidP="00476D60">
      <w:pPr>
        <w:spacing w:line="276" w:lineRule="auto"/>
        <w:jc w:val="both"/>
        <w:rPr>
          <w:rFonts w:ascii="Candara" w:hAnsi="Candara" w:cs="Calibri"/>
          <w:lang w:val="fr-FR"/>
        </w:rPr>
      </w:pPr>
      <w:r w:rsidRPr="00A06912">
        <w:rPr>
          <w:rFonts w:ascii="Candara" w:hAnsi="Candara" w:cs="Calibri"/>
          <w:lang w:val="fr-FR"/>
        </w:rPr>
        <w:t>Malaria Consortium utilise une plateforme numérique spécifique (</w:t>
      </w:r>
      <w:proofErr w:type="spellStart"/>
      <w:r w:rsidRPr="00A06912">
        <w:rPr>
          <w:rFonts w:ascii="Candara" w:hAnsi="Candara" w:cs="Calibri"/>
          <w:b/>
          <w:lang w:val="fr-FR"/>
        </w:rPr>
        <w:t>SurveyCTO</w:t>
      </w:r>
      <w:proofErr w:type="spellEnd"/>
      <w:r w:rsidRPr="00A06912">
        <w:rPr>
          <w:rFonts w:ascii="Candara" w:hAnsi="Candara" w:cs="Calibri"/>
          <w:lang w:val="fr-FR"/>
        </w:rPr>
        <w:t xml:space="preserve">) et les agents enquêteurs seront dotés de niveaux d’accès appropriés pour la collecte de données par le biais de cette plate-forme.  </w:t>
      </w:r>
    </w:p>
    <w:p w14:paraId="7FEFE35C" w14:textId="77777777" w:rsidR="00476D60" w:rsidRPr="007104FF" w:rsidRDefault="00476D60" w:rsidP="00476D60">
      <w:pPr>
        <w:spacing w:line="276" w:lineRule="auto"/>
        <w:jc w:val="both"/>
        <w:rPr>
          <w:rFonts w:ascii="Candara" w:hAnsi="Candara" w:cs="Calibri"/>
          <w:b/>
          <w:sz w:val="24"/>
          <w:szCs w:val="24"/>
          <w:u w:val="single"/>
          <w:lang w:val="fr-FR"/>
        </w:rPr>
      </w:pPr>
    </w:p>
    <w:p w14:paraId="30F243FF" w14:textId="77777777" w:rsidR="00476D60" w:rsidRPr="007104FF" w:rsidRDefault="00476D60" w:rsidP="00476D60">
      <w:pPr>
        <w:spacing w:line="276" w:lineRule="auto"/>
        <w:jc w:val="both"/>
        <w:rPr>
          <w:rFonts w:ascii="Candara" w:hAnsi="Candara" w:cs="Calibri"/>
          <w:b/>
          <w:i/>
          <w:sz w:val="24"/>
          <w:szCs w:val="24"/>
          <w:u w:val="single"/>
          <w:lang w:val="fr-FR"/>
        </w:rPr>
      </w:pPr>
      <w:r w:rsidRPr="007104FF">
        <w:rPr>
          <w:rFonts w:ascii="Candara" w:hAnsi="Candara" w:cs="Calibri"/>
          <w:b/>
          <w:i/>
          <w:sz w:val="24"/>
          <w:szCs w:val="24"/>
          <w:u w:val="single"/>
          <w:lang w:val="fr-FR"/>
        </w:rPr>
        <w:t>Analyse et gestion des données</w:t>
      </w:r>
    </w:p>
    <w:p w14:paraId="592765FA" w14:textId="77777777" w:rsidR="00476D60" w:rsidRPr="007104FF" w:rsidRDefault="00476D60" w:rsidP="00476D60">
      <w:pPr>
        <w:spacing w:line="276" w:lineRule="auto"/>
        <w:jc w:val="both"/>
        <w:rPr>
          <w:rFonts w:ascii="Candara" w:hAnsi="Candara" w:cs="Calibri"/>
          <w:sz w:val="24"/>
          <w:szCs w:val="24"/>
          <w:lang w:val="fr-FR"/>
        </w:rPr>
      </w:pPr>
    </w:p>
    <w:p w14:paraId="57800794" w14:textId="77777777" w:rsidR="00476D60" w:rsidRPr="00A06912" w:rsidRDefault="00476D60" w:rsidP="00476D60">
      <w:pPr>
        <w:spacing w:line="276" w:lineRule="auto"/>
        <w:jc w:val="both"/>
        <w:rPr>
          <w:rFonts w:ascii="Candara" w:hAnsi="Candara" w:cs="Calibri"/>
          <w:lang w:val="fr-FR"/>
        </w:rPr>
      </w:pPr>
      <w:r w:rsidRPr="00A06912">
        <w:rPr>
          <w:rFonts w:ascii="Candara" w:hAnsi="Candara" w:cs="Calibri"/>
          <w:lang w:val="fr-FR"/>
        </w:rPr>
        <w:t xml:space="preserve">L’attributaire désignera, dès le début, la ou les personnes clé(e)s qui sera responsable de l’analyse des données. La plate-forme de gestion de données par défaut sera </w:t>
      </w:r>
      <w:proofErr w:type="spellStart"/>
      <w:r w:rsidRPr="00A06912">
        <w:rPr>
          <w:rFonts w:ascii="Candara" w:hAnsi="Candara" w:cs="Calibri"/>
          <w:lang w:val="fr-FR"/>
        </w:rPr>
        <w:t>SurveyCTO</w:t>
      </w:r>
      <w:proofErr w:type="spellEnd"/>
      <w:r w:rsidRPr="00A06912">
        <w:rPr>
          <w:rFonts w:ascii="Candara" w:hAnsi="Candara" w:cs="Calibri"/>
          <w:lang w:val="fr-FR"/>
        </w:rPr>
        <w:t>, qui sera considérée comme stockage principal et outil de monitoring, et comme outil de base d’analyse. Toutefois, les soumissionnaires retenus seront encouragés à exporter les données vers un logiciel d’analyse de leur choix pour effectuer les analyses pertinentes. Malaria Consortium préfère travailler avec Stata, mais les autres logiciels de statistiques traditionnels sont autorisés. Malaria Consortium ne rendra pas disponible un tel logiciel, et le soumissionnaire doit être déjà en possession des licences appropriées pour leur logiciel de choix. Toutefois, le soumissionnaire fournira en plus des rapports une base de données apurée ayant servie à l’analyse au format .</w:t>
      </w:r>
      <w:proofErr w:type="spellStart"/>
      <w:r w:rsidRPr="00A06912">
        <w:rPr>
          <w:rFonts w:ascii="Candara" w:hAnsi="Candara" w:cs="Calibri"/>
          <w:lang w:val="fr-FR"/>
        </w:rPr>
        <w:t>xls</w:t>
      </w:r>
      <w:proofErr w:type="spellEnd"/>
      <w:r w:rsidRPr="00A06912">
        <w:rPr>
          <w:rFonts w:ascii="Candara" w:hAnsi="Candara" w:cs="Calibri"/>
          <w:lang w:val="fr-FR"/>
        </w:rPr>
        <w:t xml:space="preserve"> et le programme de production de tableaux et figures au format .do.</w:t>
      </w:r>
    </w:p>
    <w:p w14:paraId="65AF97D9" w14:textId="77777777" w:rsidR="00476D60" w:rsidRPr="007104FF" w:rsidRDefault="00476D60" w:rsidP="00476D60">
      <w:pPr>
        <w:spacing w:line="276" w:lineRule="auto"/>
        <w:jc w:val="both"/>
        <w:rPr>
          <w:rFonts w:ascii="Candara" w:hAnsi="Candara" w:cs="Calibri"/>
          <w:sz w:val="24"/>
          <w:szCs w:val="24"/>
          <w:lang w:val="fr-FR"/>
        </w:rPr>
      </w:pPr>
    </w:p>
    <w:p w14:paraId="1C614CEE" w14:textId="77777777" w:rsidR="00476D60" w:rsidRPr="007104FF" w:rsidRDefault="00476D60" w:rsidP="00476D60">
      <w:pPr>
        <w:spacing w:line="276" w:lineRule="auto"/>
        <w:jc w:val="both"/>
        <w:rPr>
          <w:rFonts w:ascii="Candara" w:hAnsi="Candara" w:cs="Calibri"/>
          <w:b/>
          <w:i/>
          <w:sz w:val="24"/>
          <w:szCs w:val="24"/>
          <w:u w:val="single"/>
          <w:lang w:val="fr-FR"/>
        </w:rPr>
      </w:pPr>
      <w:r w:rsidRPr="007104FF">
        <w:rPr>
          <w:rFonts w:ascii="Candara" w:hAnsi="Candara" w:cs="Calibri"/>
          <w:b/>
          <w:i/>
          <w:sz w:val="24"/>
          <w:szCs w:val="24"/>
          <w:u w:val="single"/>
          <w:lang w:val="fr-FR"/>
        </w:rPr>
        <w:t xml:space="preserve">Reportage </w:t>
      </w:r>
    </w:p>
    <w:p w14:paraId="5BD10BEB" w14:textId="77777777" w:rsidR="00476D60" w:rsidRPr="00A06912" w:rsidRDefault="00476D60" w:rsidP="00476D60">
      <w:pPr>
        <w:spacing w:line="276" w:lineRule="auto"/>
        <w:jc w:val="both"/>
        <w:rPr>
          <w:rFonts w:ascii="Candara" w:hAnsi="Candara" w:cs="Calibri"/>
          <w:lang w:val="fr-FR"/>
        </w:rPr>
      </w:pPr>
      <w:r w:rsidRPr="00A06912">
        <w:rPr>
          <w:rFonts w:ascii="Candara" w:hAnsi="Candara" w:cs="Calibri"/>
          <w:lang w:val="fr-FR"/>
        </w:rPr>
        <w:t>Le soumissionnaire fournira un rapport préliminaire d’analyse. Ce rapport doit être disponible 10 jours maximum après la signature des contrats. Le rapport final doit être disponible au maximum 1 semaine avant le cycle suivant.</w:t>
      </w:r>
    </w:p>
    <w:p w14:paraId="7DC31ED1" w14:textId="77777777" w:rsidR="00476D60" w:rsidRPr="00A06912" w:rsidRDefault="00476D60" w:rsidP="00476D60">
      <w:pPr>
        <w:spacing w:line="276" w:lineRule="auto"/>
        <w:jc w:val="both"/>
        <w:rPr>
          <w:rFonts w:ascii="Candara" w:hAnsi="Candara" w:cs="Calibri"/>
          <w:lang w:val="fr-FR"/>
        </w:rPr>
      </w:pPr>
      <w:r w:rsidRPr="00A06912">
        <w:rPr>
          <w:rFonts w:ascii="Candara" w:hAnsi="Candara" w:cs="Calibri"/>
          <w:lang w:val="fr-FR"/>
        </w:rPr>
        <w:t xml:space="preserve">A l’issue de la collecte de données de terrain, le soumissionnaire fournira un rapport final d’analyse narratif, avec la description de tous les résultats et les indicateurs en conformité avec la validité du contrat. Le soumissionnaire fournira par la même occasion un rapport financier complet. La langue de tous les rapports sera le Français et l’anglais.  </w:t>
      </w:r>
    </w:p>
    <w:p w14:paraId="41824012" w14:textId="4842E327" w:rsidR="00476D60" w:rsidRDefault="00476D60" w:rsidP="00476D60">
      <w:pPr>
        <w:spacing w:line="276" w:lineRule="auto"/>
        <w:jc w:val="both"/>
        <w:rPr>
          <w:rFonts w:ascii="Candara" w:hAnsi="Candara" w:cs="Calibri"/>
          <w:sz w:val="24"/>
          <w:szCs w:val="24"/>
          <w:lang w:val="fr-FR"/>
        </w:rPr>
      </w:pPr>
    </w:p>
    <w:p w14:paraId="49112C74" w14:textId="32E33D73" w:rsidR="00476D60" w:rsidRDefault="00476D60" w:rsidP="00476D60">
      <w:pPr>
        <w:spacing w:line="276" w:lineRule="auto"/>
        <w:jc w:val="both"/>
        <w:rPr>
          <w:rFonts w:ascii="Candara" w:hAnsi="Candara" w:cs="Calibri"/>
          <w:sz w:val="24"/>
          <w:szCs w:val="24"/>
          <w:lang w:val="fr-FR"/>
        </w:rPr>
      </w:pPr>
    </w:p>
    <w:p w14:paraId="52B9406A" w14:textId="27E901F8" w:rsidR="00476D60" w:rsidRDefault="00476D60" w:rsidP="00476D60">
      <w:pPr>
        <w:spacing w:line="276" w:lineRule="auto"/>
        <w:jc w:val="both"/>
        <w:rPr>
          <w:rFonts w:ascii="Candara" w:hAnsi="Candara" w:cs="Calibri"/>
          <w:sz w:val="24"/>
          <w:szCs w:val="24"/>
          <w:lang w:val="fr-FR"/>
        </w:rPr>
      </w:pPr>
    </w:p>
    <w:p w14:paraId="30FD4A4E" w14:textId="77777777" w:rsidR="00476D60" w:rsidRPr="007104FF" w:rsidRDefault="00476D60" w:rsidP="00476D60">
      <w:pPr>
        <w:spacing w:line="276" w:lineRule="auto"/>
        <w:jc w:val="both"/>
        <w:rPr>
          <w:rFonts w:ascii="Candara" w:hAnsi="Candara" w:cs="Calibri"/>
          <w:sz w:val="24"/>
          <w:szCs w:val="24"/>
          <w:lang w:val="fr-FR"/>
        </w:rPr>
      </w:pPr>
    </w:p>
    <w:p w14:paraId="3CE0CE07" w14:textId="77777777" w:rsidR="00476D60" w:rsidRPr="002426DE" w:rsidRDefault="00476D60" w:rsidP="00476D60">
      <w:pPr>
        <w:numPr>
          <w:ilvl w:val="0"/>
          <w:numId w:val="26"/>
        </w:numPr>
        <w:spacing w:after="200" w:line="276" w:lineRule="auto"/>
        <w:jc w:val="both"/>
        <w:rPr>
          <w:rFonts w:ascii="Candara" w:hAnsi="Candara" w:cs="Calibri"/>
          <w:b/>
          <w:sz w:val="24"/>
          <w:szCs w:val="24"/>
          <w:lang w:val="fr-FR"/>
        </w:rPr>
      </w:pPr>
      <w:r w:rsidRPr="002426DE">
        <w:rPr>
          <w:rFonts w:ascii="Candara" w:hAnsi="Candara" w:cs="Calibri"/>
          <w:b/>
          <w:sz w:val="24"/>
          <w:szCs w:val="24"/>
          <w:lang w:val="fr-FR"/>
        </w:rPr>
        <w:lastRenderedPageBreak/>
        <w:t>Livrables</w:t>
      </w:r>
    </w:p>
    <w:p w14:paraId="174CB411" w14:textId="77777777" w:rsidR="00476D60" w:rsidRPr="002426DE" w:rsidRDefault="00476D60" w:rsidP="00476D60">
      <w:pPr>
        <w:pStyle w:val="Default"/>
        <w:spacing w:line="276" w:lineRule="auto"/>
        <w:ind w:left="426"/>
        <w:jc w:val="both"/>
        <w:rPr>
          <w:rFonts w:ascii="Candara" w:hAnsi="Candara"/>
          <w:b/>
          <w:bCs/>
          <w:lang w:val="fr-FR"/>
        </w:rPr>
      </w:pPr>
      <w:r w:rsidRPr="002426DE">
        <w:rPr>
          <w:rFonts w:ascii="Candara" w:hAnsi="Candara"/>
          <w:b/>
          <w:bCs/>
          <w:lang w:val="fr-FR"/>
        </w:rPr>
        <w:t xml:space="preserve">Livrable </w:t>
      </w:r>
      <w:proofErr w:type="gramStart"/>
      <w:r w:rsidRPr="002426DE">
        <w:rPr>
          <w:rFonts w:ascii="Candara" w:hAnsi="Candara"/>
          <w:b/>
          <w:bCs/>
          <w:lang w:val="fr-FR"/>
        </w:rPr>
        <w:t>1:</w:t>
      </w:r>
      <w:proofErr w:type="gramEnd"/>
      <w:r w:rsidRPr="002426DE">
        <w:rPr>
          <w:rFonts w:ascii="Candara" w:hAnsi="Candara"/>
          <w:b/>
          <w:bCs/>
          <w:lang w:val="fr-FR"/>
        </w:rPr>
        <w:t xml:space="preserve"> Formation </w:t>
      </w:r>
    </w:p>
    <w:p w14:paraId="74A4BBA0" w14:textId="77777777" w:rsidR="00476D60" w:rsidRPr="002426DE" w:rsidRDefault="00476D60" w:rsidP="00476D60">
      <w:pPr>
        <w:pStyle w:val="Default"/>
        <w:spacing w:line="276" w:lineRule="auto"/>
        <w:jc w:val="both"/>
        <w:rPr>
          <w:rFonts w:ascii="Candara" w:hAnsi="Candara"/>
          <w:bCs/>
          <w:lang w:val="fr-FR"/>
        </w:rPr>
      </w:pPr>
    </w:p>
    <w:p w14:paraId="6EBEE5F4" w14:textId="77777777" w:rsidR="00476D60" w:rsidRPr="00A06912" w:rsidRDefault="00476D60" w:rsidP="00476D60">
      <w:pPr>
        <w:pStyle w:val="Default"/>
        <w:spacing w:line="276" w:lineRule="auto"/>
        <w:jc w:val="both"/>
        <w:rPr>
          <w:rFonts w:ascii="Candara" w:hAnsi="Candara"/>
          <w:bCs/>
          <w:sz w:val="22"/>
          <w:szCs w:val="22"/>
          <w:lang w:val="fr-FR"/>
        </w:rPr>
      </w:pPr>
      <w:r w:rsidRPr="00A06912">
        <w:rPr>
          <w:rFonts w:ascii="Candara" w:hAnsi="Candara"/>
          <w:bCs/>
          <w:sz w:val="22"/>
          <w:szCs w:val="22"/>
          <w:lang w:val="fr-FR"/>
        </w:rPr>
        <w:t>Le Cabinet doit former le personnel chargé de l’enquête (agents enquêteurs, superviseurs, analystes de données et autres personnels compétents) avant le début des travaux sur le terrain. Un rapport de deux pages au maximum sur les points pertinents de la formation ainsi que la liste de présence doivent être soumis.</w:t>
      </w:r>
    </w:p>
    <w:p w14:paraId="2C88B329" w14:textId="77777777" w:rsidR="00476D60" w:rsidRPr="002426DE" w:rsidRDefault="00476D60" w:rsidP="00476D60">
      <w:pPr>
        <w:pStyle w:val="Default"/>
        <w:spacing w:line="276" w:lineRule="auto"/>
        <w:ind w:left="426"/>
        <w:jc w:val="both"/>
        <w:rPr>
          <w:rFonts w:ascii="Candara" w:hAnsi="Candara"/>
          <w:b/>
          <w:bCs/>
          <w:lang w:val="fr-FR"/>
        </w:rPr>
      </w:pPr>
    </w:p>
    <w:p w14:paraId="134DE691" w14:textId="77777777" w:rsidR="00476D60" w:rsidRPr="002426DE" w:rsidRDefault="00476D60" w:rsidP="00476D60">
      <w:pPr>
        <w:pStyle w:val="Default"/>
        <w:spacing w:line="276" w:lineRule="auto"/>
        <w:ind w:left="426"/>
        <w:jc w:val="both"/>
        <w:rPr>
          <w:rFonts w:ascii="Candara" w:hAnsi="Candara"/>
          <w:bCs/>
          <w:lang w:val="fr-FR"/>
        </w:rPr>
      </w:pPr>
      <w:r w:rsidRPr="002426DE">
        <w:rPr>
          <w:rFonts w:ascii="Candara" w:hAnsi="Candara"/>
          <w:b/>
          <w:bCs/>
          <w:lang w:val="fr-FR"/>
        </w:rPr>
        <w:t xml:space="preserve">Livrable </w:t>
      </w:r>
      <w:proofErr w:type="gramStart"/>
      <w:r w:rsidRPr="002426DE">
        <w:rPr>
          <w:rFonts w:ascii="Candara" w:hAnsi="Candara"/>
          <w:b/>
          <w:bCs/>
          <w:lang w:val="fr-FR"/>
        </w:rPr>
        <w:t>2:</w:t>
      </w:r>
      <w:proofErr w:type="gramEnd"/>
      <w:r w:rsidRPr="002426DE">
        <w:rPr>
          <w:rFonts w:ascii="Candara" w:hAnsi="Candara"/>
          <w:b/>
          <w:bCs/>
          <w:lang w:val="fr-FR"/>
        </w:rPr>
        <w:t xml:space="preserve"> Collecte de données de terrain</w:t>
      </w:r>
    </w:p>
    <w:p w14:paraId="2E9304C5" w14:textId="77777777" w:rsidR="00476D60" w:rsidRPr="002426DE" w:rsidRDefault="00476D60" w:rsidP="00476D60">
      <w:pPr>
        <w:spacing w:line="276" w:lineRule="auto"/>
        <w:jc w:val="both"/>
        <w:rPr>
          <w:rFonts w:ascii="Candara" w:hAnsi="Candara" w:cs="Calibri"/>
          <w:bCs/>
          <w:sz w:val="24"/>
          <w:szCs w:val="24"/>
          <w:lang w:val="fr-FR"/>
        </w:rPr>
      </w:pPr>
    </w:p>
    <w:p w14:paraId="592AC6F7" w14:textId="77777777" w:rsidR="00476D60" w:rsidRPr="00A06912" w:rsidRDefault="00476D60" w:rsidP="00476D60">
      <w:pPr>
        <w:spacing w:after="240" w:line="276" w:lineRule="auto"/>
        <w:jc w:val="both"/>
        <w:rPr>
          <w:rFonts w:ascii="Candara" w:hAnsi="Candara" w:cs="Calibri"/>
          <w:bCs/>
          <w:lang w:val="fr-FR"/>
        </w:rPr>
      </w:pPr>
      <w:r w:rsidRPr="00A06912">
        <w:rPr>
          <w:rFonts w:ascii="Candara" w:hAnsi="Candara" w:cs="Calibri"/>
          <w:bCs/>
          <w:lang w:val="fr-FR"/>
        </w:rPr>
        <w:t>Le Cabinet doit collecter et charger les données d’enquête sur la plate-forme numérique de Malaria Consortium (</w:t>
      </w:r>
      <w:proofErr w:type="spellStart"/>
      <w:r w:rsidRPr="00A06912">
        <w:rPr>
          <w:rFonts w:ascii="Candara" w:hAnsi="Candara" w:cs="Calibri"/>
          <w:bCs/>
          <w:lang w:val="fr-FR"/>
        </w:rPr>
        <w:t>SurveyCTO</w:t>
      </w:r>
      <w:proofErr w:type="spellEnd"/>
      <w:r w:rsidRPr="00A06912">
        <w:rPr>
          <w:rFonts w:ascii="Candara" w:hAnsi="Candara" w:cs="Calibri"/>
          <w:bCs/>
          <w:lang w:val="fr-FR"/>
        </w:rPr>
        <w:t xml:space="preserve">), en utilisant des dispositifs numériques portables adéquats pour la collecte des données et en disposant d’un accès approprié à Internet pour le chargement des données sur la plateforme </w:t>
      </w:r>
      <w:proofErr w:type="spellStart"/>
      <w:r w:rsidRPr="00A06912">
        <w:rPr>
          <w:rFonts w:ascii="Candara" w:hAnsi="Candara" w:cs="Calibri"/>
          <w:bCs/>
          <w:lang w:val="fr-FR"/>
        </w:rPr>
        <w:t>SurveyCTO</w:t>
      </w:r>
      <w:proofErr w:type="spellEnd"/>
      <w:r w:rsidRPr="00A06912">
        <w:rPr>
          <w:rFonts w:ascii="Candara" w:hAnsi="Candara" w:cs="Calibri"/>
          <w:bCs/>
          <w:lang w:val="fr-FR"/>
        </w:rPr>
        <w:t>.</w:t>
      </w:r>
    </w:p>
    <w:p w14:paraId="591FE3EC" w14:textId="77777777" w:rsidR="00476D60" w:rsidRPr="00A06912" w:rsidRDefault="00476D60" w:rsidP="00476D60">
      <w:pPr>
        <w:spacing w:after="240" w:line="276" w:lineRule="auto"/>
        <w:jc w:val="both"/>
        <w:rPr>
          <w:rFonts w:ascii="Candara" w:hAnsi="Candara" w:cs="Calibri"/>
          <w:bCs/>
          <w:lang w:val="fr-FR"/>
        </w:rPr>
      </w:pPr>
      <w:r w:rsidRPr="00A06912">
        <w:rPr>
          <w:rFonts w:ascii="Candara" w:hAnsi="Candara" w:cs="Calibri"/>
          <w:bCs/>
          <w:lang w:val="fr-FR"/>
        </w:rPr>
        <w:t xml:space="preserve">         </w:t>
      </w:r>
      <w:r w:rsidRPr="00A06912">
        <w:rPr>
          <w:rFonts w:ascii="Candara" w:hAnsi="Candara" w:cs="Calibri"/>
          <w:b/>
          <w:bCs/>
          <w:lang w:val="fr-FR"/>
        </w:rPr>
        <w:t>Livrable 3</w:t>
      </w:r>
      <w:r w:rsidRPr="00A06912">
        <w:rPr>
          <w:rFonts w:ascii="Candara" w:hAnsi="Candara" w:cs="Calibri"/>
          <w:bCs/>
          <w:lang w:val="fr-FR"/>
        </w:rPr>
        <w:t> : Rapport intermédiaire</w:t>
      </w:r>
    </w:p>
    <w:p w14:paraId="3777A7AE" w14:textId="77777777" w:rsidR="00476D60" w:rsidRPr="00A06912" w:rsidRDefault="00476D60" w:rsidP="00476D60">
      <w:pPr>
        <w:spacing w:after="240" w:line="276" w:lineRule="auto"/>
        <w:jc w:val="both"/>
        <w:rPr>
          <w:rFonts w:ascii="Candara" w:hAnsi="Candara" w:cs="Calibri"/>
          <w:bCs/>
          <w:lang w:val="fr-FR"/>
        </w:rPr>
      </w:pPr>
      <w:r w:rsidRPr="00A06912">
        <w:rPr>
          <w:rFonts w:ascii="Candara" w:hAnsi="Candara" w:cs="Calibri"/>
          <w:bCs/>
          <w:lang w:val="fr-FR"/>
        </w:rPr>
        <w:t xml:space="preserve">         </w:t>
      </w:r>
      <w:r w:rsidRPr="00A06912">
        <w:rPr>
          <w:rFonts w:ascii="Candara" w:hAnsi="Candara" w:cs="Calibri"/>
          <w:b/>
          <w:bCs/>
          <w:lang w:val="fr-FR"/>
        </w:rPr>
        <w:t>Livrable 4</w:t>
      </w:r>
      <w:r w:rsidRPr="00A06912">
        <w:rPr>
          <w:rFonts w:ascii="Candara" w:hAnsi="Candara" w:cs="Calibri"/>
          <w:bCs/>
          <w:lang w:val="fr-FR"/>
        </w:rPr>
        <w:t> : Le rapport analytique final, base de données et programme informatique (do</w:t>
      </w:r>
      <w:r>
        <w:rPr>
          <w:rFonts w:ascii="Candara" w:hAnsi="Candara" w:cs="Calibri"/>
          <w:bCs/>
          <w:lang w:val="fr-FR"/>
        </w:rPr>
        <w:t xml:space="preserve"> </w:t>
      </w:r>
      <w:r w:rsidRPr="00A06912">
        <w:rPr>
          <w:rFonts w:ascii="Candara" w:hAnsi="Candara" w:cs="Calibri"/>
          <w:bCs/>
          <w:lang w:val="fr-FR"/>
        </w:rPr>
        <w:t xml:space="preserve">file) </w:t>
      </w:r>
    </w:p>
    <w:p w14:paraId="04689AFA" w14:textId="77777777" w:rsidR="00476D60" w:rsidRPr="007104FF" w:rsidRDefault="00476D60" w:rsidP="00476D60">
      <w:pPr>
        <w:widowControl w:val="0"/>
        <w:numPr>
          <w:ilvl w:val="0"/>
          <w:numId w:val="26"/>
        </w:numPr>
        <w:spacing w:after="0" w:line="276" w:lineRule="auto"/>
        <w:jc w:val="both"/>
        <w:rPr>
          <w:rFonts w:ascii="Candara" w:hAnsi="Candara" w:cs="Calibri"/>
          <w:b/>
          <w:sz w:val="24"/>
          <w:szCs w:val="24"/>
          <w:lang w:val="fr-FR"/>
        </w:rPr>
      </w:pPr>
      <w:r w:rsidRPr="007104FF">
        <w:rPr>
          <w:rFonts w:ascii="Candara" w:hAnsi="Candara" w:cs="Calibri"/>
          <w:b/>
          <w:sz w:val="24"/>
          <w:szCs w:val="24"/>
          <w:lang w:val="fr-FR"/>
        </w:rPr>
        <w:t>Date limite d’exécution des services</w:t>
      </w:r>
    </w:p>
    <w:p w14:paraId="3C0E175A" w14:textId="77777777" w:rsidR="00476D60" w:rsidRPr="007104FF" w:rsidRDefault="00476D60" w:rsidP="00476D60">
      <w:pPr>
        <w:spacing w:line="276" w:lineRule="auto"/>
        <w:jc w:val="both"/>
        <w:rPr>
          <w:rFonts w:ascii="Candara" w:hAnsi="Candara" w:cs="Calibri"/>
          <w:sz w:val="24"/>
          <w:szCs w:val="24"/>
          <w:lang w:val="fr-FR"/>
        </w:rPr>
      </w:pPr>
    </w:p>
    <w:p w14:paraId="03A2A9D2" w14:textId="77777777" w:rsidR="00476D60" w:rsidRPr="00A06912" w:rsidRDefault="00476D60" w:rsidP="00476D60">
      <w:pPr>
        <w:spacing w:line="276" w:lineRule="auto"/>
        <w:jc w:val="both"/>
        <w:rPr>
          <w:rFonts w:ascii="Candara" w:hAnsi="Candara" w:cs="Calibri"/>
          <w:lang w:val="fr-FR"/>
        </w:rPr>
      </w:pPr>
      <w:r w:rsidRPr="00A06912">
        <w:rPr>
          <w:rFonts w:ascii="Candara" w:hAnsi="Candara" w:cs="Calibri"/>
          <w:lang w:val="fr-FR"/>
        </w:rPr>
        <w:t>Le Cabinet s'engage à respecter les délais suivants :</w:t>
      </w:r>
    </w:p>
    <w:p w14:paraId="125993C4" w14:textId="77777777" w:rsidR="00476D60" w:rsidRPr="00A06912" w:rsidRDefault="00476D60" w:rsidP="00476D60">
      <w:pPr>
        <w:widowControl w:val="0"/>
        <w:numPr>
          <w:ilvl w:val="0"/>
          <w:numId w:val="27"/>
        </w:numPr>
        <w:spacing w:after="0" w:line="276" w:lineRule="auto"/>
        <w:jc w:val="both"/>
        <w:rPr>
          <w:rFonts w:ascii="Candara" w:hAnsi="Candara" w:cs="Calibri"/>
          <w:lang w:val="fr-FR"/>
        </w:rPr>
      </w:pPr>
      <w:r w:rsidRPr="00A06912">
        <w:rPr>
          <w:rFonts w:ascii="Candara" w:hAnsi="Candara" w:cs="Calibri"/>
          <w:lang w:val="fr-FR"/>
        </w:rPr>
        <w:t>Formation du personnel de l’enquête terminée dans un délai maximum de [2] jours à compter de la signature du présent contrat. Le rapport de formation (maximum 2 pages) avec la feuille de présence et les résultats de l’évaluation des récipiendaires en annexe doit être remis dans les 48 heures suivant l’achèvement de la formation. Malaria Consortium prendra en compte ces activités dans les 24 heures suivant la réception du rapport de formation. Si des éclaircissements supplémentaires sont nécessaires, un délai maximum de 24 heures (jour ouvrable) sera accordé pour la nouvelle soumission. Sinon, la preuve de livraison ne sera pas approuvée par Malaria Consortium.</w:t>
      </w:r>
    </w:p>
    <w:p w14:paraId="11867BB5" w14:textId="77777777" w:rsidR="00476D60" w:rsidRPr="00A06912" w:rsidRDefault="00476D60" w:rsidP="00476D60">
      <w:pPr>
        <w:widowControl w:val="0"/>
        <w:numPr>
          <w:ilvl w:val="0"/>
          <w:numId w:val="27"/>
        </w:numPr>
        <w:spacing w:after="0" w:line="276" w:lineRule="auto"/>
        <w:jc w:val="both"/>
        <w:rPr>
          <w:rFonts w:ascii="Candara" w:hAnsi="Candara" w:cs="Calibri"/>
          <w:lang w:val="fr-FR"/>
        </w:rPr>
      </w:pPr>
      <w:r w:rsidRPr="00A06912">
        <w:rPr>
          <w:rFonts w:ascii="Candara" w:hAnsi="Candara" w:cs="Calibri"/>
          <w:lang w:val="fr-FR"/>
        </w:rPr>
        <w:t>Enquête sur le terrain (collecte de données) achevée dans un délai maximum de sept [7] jours à compter de la signature du présent contrat ;</w:t>
      </w:r>
    </w:p>
    <w:p w14:paraId="6F447663" w14:textId="77777777" w:rsidR="00476D60" w:rsidRPr="00A06912" w:rsidRDefault="00476D60" w:rsidP="00476D60">
      <w:pPr>
        <w:widowControl w:val="0"/>
        <w:numPr>
          <w:ilvl w:val="0"/>
          <w:numId w:val="27"/>
        </w:numPr>
        <w:spacing w:after="0" w:line="276" w:lineRule="auto"/>
        <w:jc w:val="both"/>
        <w:rPr>
          <w:rFonts w:ascii="Candara" w:hAnsi="Candara" w:cs="Calibri"/>
          <w:lang w:val="fr-FR"/>
        </w:rPr>
      </w:pPr>
      <w:r w:rsidRPr="00A06912">
        <w:rPr>
          <w:rFonts w:ascii="Candara" w:hAnsi="Candara" w:cs="Calibri"/>
          <w:lang w:val="fr-FR"/>
        </w:rPr>
        <w:t>Rapport préliminaire remis dans les 3 jours suivant l'achèvement des travaux d'enquête sur le terrain.</w:t>
      </w:r>
    </w:p>
    <w:p w14:paraId="307EB78A" w14:textId="77777777" w:rsidR="00476D60" w:rsidRPr="00A06912" w:rsidRDefault="00476D60" w:rsidP="00476D60">
      <w:pPr>
        <w:widowControl w:val="0"/>
        <w:numPr>
          <w:ilvl w:val="0"/>
          <w:numId w:val="27"/>
        </w:numPr>
        <w:spacing w:after="120" w:line="276" w:lineRule="auto"/>
        <w:jc w:val="both"/>
        <w:rPr>
          <w:rFonts w:ascii="Candara" w:hAnsi="Candara" w:cs="Calibri"/>
          <w:lang w:val="fr-FR"/>
        </w:rPr>
      </w:pPr>
      <w:r w:rsidRPr="00A06912">
        <w:rPr>
          <w:rFonts w:ascii="Candara" w:hAnsi="Candara" w:cs="Calibri"/>
          <w:lang w:val="fr-FR"/>
        </w:rPr>
        <w:t xml:space="preserve">Rapport final remis dans la semaine suivant la soumission du rapport préliminaire. </w:t>
      </w:r>
    </w:p>
    <w:p w14:paraId="0854017A" w14:textId="77777777" w:rsidR="00476D60" w:rsidRPr="00E5518D" w:rsidRDefault="00476D60" w:rsidP="00476D60">
      <w:pPr>
        <w:widowControl w:val="0"/>
        <w:numPr>
          <w:ilvl w:val="0"/>
          <w:numId w:val="27"/>
        </w:numPr>
        <w:spacing w:after="120" w:line="276" w:lineRule="auto"/>
        <w:jc w:val="both"/>
        <w:rPr>
          <w:rFonts w:ascii="Candara" w:hAnsi="Candara" w:cs="Calibri"/>
          <w:sz w:val="24"/>
          <w:szCs w:val="24"/>
          <w:lang w:val="fr-FR"/>
        </w:rPr>
      </w:pPr>
      <w:r w:rsidRPr="00A06912">
        <w:rPr>
          <w:rFonts w:ascii="Candara" w:hAnsi="Candara" w:cs="Calibri"/>
          <w:lang w:val="fr-FR"/>
        </w:rPr>
        <w:t xml:space="preserve">En cas de non-respect des délais susmentionnés, ces retards feront l'objet de pénalités équivalant à 0,5% de la valeur du contrat pour chaque jour de retard, jusqu'à concurrence de 10% de la valeur du contrat. Le paiement des retards sera déterminé par rapport à la preuve de livraison des délais </w:t>
      </w:r>
      <w:r w:rsidRPr="00A06912">
        <w:rPr>
          <w:rFonts w:ascii="Candara" w:hAnsi="Candara" w:cs="Calibri"/>
          <w:lang w:val="fr-FR"/>
        </w:rPr>
        <w:lastRenderedPageBreak/>
        <w:t>d’exécution, toute pénalité pouvant être déduite du paiement final.</w:t>
      </w:r>
    </w:p>
    <w:p w14:paraId="19C95EB8" w14:textId="77777777" w:rsidR="00476D60" w:rsidRPr="00204F05" w:rsidRDefault="00476D60" w:rsidP="00476D60">
      <w:pPr>
        <w:spacing w:line="276" w:lineRule="auto"/>
        <w:jc w:val="both"/>
        <w:rPr>
          <w:rFonts w:ascii="Candara" w:hAnsi="Candara" w:cs="Calibri"/>
          <w:b/>
          <w:sz w:val="24"/>
          <w:szCs w:val="24"/>
          <w:lang w:val="fr-FR"/>
        </w:rPr>
      </w:pPr>
      <w:r w:rsidRPr="00204F05">
        <w:rPr>
          <w:rFonts w:ascii="Candara" w:hAnsi="Candara" w:cs="Calibri"/>
          <w:b/>
          <w:sz w:val="24"/>
          <w:szCs w:val="24"/>
          <w:lang w:val="fr-FR"/>
        </w:rPr>
        <w:t>Gestion financière et rapportage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8"/>
        <w:gridCol w:w="5387"/>
        <w:gridCol w:w="1276"/>
      </w:tblGrid>
      <w:tr w:rsidR="00476D60" w:rsidRPr="00A06912" w14:paraId="18327F59" w14:textId="77777777" w:rsidTr="00F83B44">
        <w:tc>
          <w:tcPr>
            <w:tcW w:w="1134" w:type="dxa"/>
            <w:shd w:val="clear" w:color="auto" w:fill="auto"/>
          </w:tcPr>
          <w:p w14:paraId="5D437190" w14:textId="77777777" w:rsidR="00476D60" w:rsidRPr="00A06912" w:rsidRDefault="00476D60" w:rsidP="00F83B44">
            <w:pPr>
              <w:spacing w:line="276" w:lineRule="auto"/>
              <w:jc w:val="both"/>
              <w:rPr>
                <w:rFonts w:ascii="Candara" w:hAnsi="Candara" w:cs="Calibri"/>
                <w:b/>
                <w:lang w:val="fr-FR"/>
              </w:rPr>
            </w:pPr>
            <w:r w:rsidRPr="00A06912">
              <w:rPr>
                <w:rFonts w:ascii="Candara" w:hAnsi="Candara" w:cs="Calibri"/>
                <w:b/>
                <w:lang w:val="fr-FR"/>
              </w:rPr>
              <w:t>Tranche</w:t>
            </w:r>
          </w:p>
        </w:tc>
        <w:tc>
          <w:tcPr>
            <w:tcW w:w="2268" w:type="dxa"/>
            <w:shd w:val="clear" w:color="auto" w:fill="auto"/>
          </w:tcPr>
          <w:p w14:paraId="7F688E68" w14:textId="77777777" w:rsidR="00476D60" w:rsidRPr="00A06912" w:rsidRDefault="00476D60" w:rsidP="00F83B44">
            <w:pPr>
              <w:spacing w:line="276" w:lineRule="auto"/>
              <w:jc w:val="both"/>
              <w:rPr>
                <w:rFonts w:ascii="Candara" w:hAnsi="Candara" w:cs="Calibri"/>
                <w:b/>
                <w:lang w:val="fr-FR"/>
              </w:rPr>
            </w:pPr>
            <w:r w:rsidRPr="00A06912">
              <w:rPr>
                <w:rFonts w:ascii="Candara" w:hAnsi="Candara" w:cs="Calibri"/>
                <w:b/>
                <w:lang w:val="fr-FR"/>
              </w:rPr>
              <w:t>Description</w:t>
            </w:r>
          </w:p>
        </w:tc>
        <w:tc>
          <w:tcPr>
            <w:tcW w:w="5387" w:type="dxa"/>
          </w:tcPr>
          <w:p w14:paraId="692C179A" w14:textId="77777777" w:rsidR="00476D60" w:rsidRPr="00A06912" w:rsidRDefault="00476D60" w:rsidP="00F83B44">
            <w:pPr>
              <w:spacing w:line="276" w:lineRule="auto"/>
              <w:jc w:val="both"/>
              <w:rPr>
                <w:rFonts w:ascii="Candara" w:hAnsi="Candara" w:cs="Calibri"/>
                <w:b/>
                <w:lang w:val="fr-FR"/>
              </w:rPr>
            </w:pPr>
            <w:r w:rsidRPr="00A06912">
              <w:rPr>
                <w:rFonts w:ascii="Candara" w:hAnsi="Candara" w:cs="Calibri"/>
                <w:b/>
                <w:lang w:val="fr-FR"/>
              </w:rPr>
              <w:t>Documents requis</w:t>
            </w:r>
          </w:p>
        </w:tc>
        <w:tc>
          <w:tcPr>
            <w:tcW w:w="1276" w:type="dxa"/>
            <w:shd w:val="clear" w:color="auto" w:fill="auto"/>
          </w:tcPr>
          <w:p w14:paraId="5B925778" w14:textId="77777777" w:rsidR="00476D60" w:rsidRPr="00A06912" w:rsidRDefault="00476D60" w:rsidP="00F83B44">
            <w:pPr>
              <w:spacing w:line="276" w:lineRule="auto"/>
              <w:jc w:val="both"/>
              <w:rPr>
                <w:rFonts w:ascii="Candara" w:hAnsi="Candara" w:cs="Calibri"/>
                <w:b/>
                <w:lang w:val="fr-FR"/>
              </w:rPr>
            </w:pPr>
            <w:r w:rsidRPr="00A06912">
              <w:rPr>
                <w:rFonts w:ascii="Candara" w:hAnsi="Candara" w:cs="Calibri"/>
                <w:b/>
                <w:lang w:val="fr-FR"/>
              </w:rPr>
              <w:t>Rapport Financier</w:t>
            </w:r>
          </w:p>
        </w:tc>
      </w:tr>
      <w:tr w:rsidR="00476D60" w:rsidRPr="00A06912" w14:paraId="70172452" w14:textId="77777777" w:rsidTr="00F83B44">
        <w:trPr>
          <w:trHeight w:val="132"/>
        </w:trPr>
        <w:tc>
          <w:tcPr>
            <w:tcW w:w="1134" w:type="dxa"/>
            <w:shd w:val="clear" w:color="auto" w:fill="auto"/>
          </w:tcPr>
          <w:p w14:paraId="644C2A42" w14:textId="77777777" w:rsidR="00476D60" w:rsidRPr="00A06912" w:rsidRDefault="00476D60" w:rsidP="00F83B44">
            <w:pPr>
              <w:spacing w:line="276" w:lineRule="auto"/>
              <w:jc w:val="both"/>
              <w:rPr>
                <w:rFonts w:ascii="Candara" w:hAnsi="Candara" w:cs="Calibri"/>
                <w:lang w:val="fr-FR"/>
              </w:rPr>
            </w:pPr>
          </w:p>
          <w:p w14:paraId="58FE1744" w14:textId="77777777" w:rsidR="00476D60" w:rsidRPr="00A06912" w:rsidRDefault="00476D60" w:rsidP="00F83B44">
            <w:pPr>
              <w:spacing w:line="276" w:lineRule="auto"/>
              <w:jc w:val="both"/>
              <w:rPr>
                <w:rFonts w:ascii="Candara" w:hAnsi="Candara" w:cs="Calibri"/>
                <w:lang w:val="fr-FR"/>
              </w:rPr>
            </w:pPr>
          </w:p>
          <w:p w14:paraId="26CF7E1F" w14:textId="77777777" w:rsidR="00476D60" w:rsidRPr="00A06912" w:rsidRDefault="00476D60" w:rsidP="00F83B44">
            <w:pPr>
              <w:spacing w:line="276" w:lineRule="auto"/>
              <w:jc w:val="both"/>
              <w:rPr>
                <w:rFonts w:ascii="Candara" w:hAnsi="Candara" w:cs="Calibri"/>
                <w:lang w:val="fr-FR"/>
              </w:rPr>
            </w:pPr>
            <w:r w:rsidRPr="00A06912">
              <w:rPr>
                <w:rFonts w:ascii="Candara" w:hAnsi="Candara" w:cs="Calibri"/>
                <w:lang w:val="fr-FR"/>
              </w:rPr>
              <w:t>1</w:t>
            </w:r>
          </w:p>
        </w:tc>
        <w:tc>
          <w:tcPr>
            <w:tcW w:w="2268" w:type="dxa"/>
            <w:shd w:val="clear" w:color="auto" w:fill="auto"/>
          </w:tcPr>
          <w:p w14:paraId="01262CC1" w14:textId="77777777" w:rsidR="00476D60" w:rsidRPr="00A06912" w:rsidRDefault="00476D60" w:rsidP="00F83B44">
            <w:pPr>
              <w:spacing w:line="276" w:lineRule="auto"/>
              <w:jc w:val="both"/>
              <w:rPr>
                <w:rFonts w:ascii="Candara" w:hAnsi="Candara" w:cs="Calibri"/>
                <w:lang w:val="fr-FR"/>
              </w:rPr>
            </w:pPr>
          </w:p>
          <w:p w14:paraId="308F9226" w14:textId="77777777" w:rsidR="00476D60" w:rsidRPr="00A06912" w:rsidRDefault="00476D60" w:rsidP="00F83B44">
            <w:pPr>
              <w:spacing w:line="276" w:lineRule="auto"/>
              <w:jc w:val="both"/>
              <w:rPr>
                <w:rFonts w:ascii="Candara" w:hAnsi="Candara" w:cs="Calibri"/>
                <w:lang w:val="fr-FR"/>
              </w:rPr>
            </w:pPr>
          </w:p>
          <w:p w14:paraId="0EE691D4" w14:textId="77777777" w:rsidR="00476D60" w:rsidRPr="00A06912" w:rsidRDefault="00476D60" w:rsidP="00F83B44">
            <w:pPr>
              <w:spacing w:line="276" w:lineRule="auto"/>
              <w:jc w:val="both"/>
              <w:rPr>
                <w:rFonts w:ascii="Candara" w:hAnsi="Candara" w:cs="Calibri"/>
                <w:lang w:val="fr-FR"/>
              </w:rPr>
            </w:pPr>
            <w:r w:rsidRPr="00A06912">
              <w:rPr>
                <w:rFonts w:ascii="Candara" w:hAnsi="Candara" w:cs="Calibri"/>
                <w:lang w:val="fr-FR"/>
              </w:rPr>
              <w:t>Paiement unique après la réalisation des services</w:t>
            </w:r>
          </w:p>
        </w:tc>
        <w:tc>
          <w:tcPr>
            <w:tcW w:w="5387" w:type="dxa"/>
          </w:tcPr>
          <w:p w14:paraId="3E751EB6" w14:textId="77777777" w:rsidR="00476D60" w:rsidRPr="00A06912" w:rsidRDefault="00476D60" w:rsidP="00476D60">
            <w:pPr>
              <w:widowControl w:val="0"/>
              <w:numPr>
                <w:ilvl w:val="0"/>
                <w:numId w:val="28"/>
              </w:numPr>
              <w:spacing w:after="0" w:line="276" w:lineRule="auto"/>
              <w:jc w:val="both"/>
              <w:rPr>
                <w:rFonts w:ascii="Candara" w:hAnsi="Candara" w:cs="Calibri"/>
                <w:lang w:val="fr-FR"/>
              </w:rPr>
            </w:pPr>
            <w:r w:rsidRPr="00A06912">
              <w:rPr>
                <w:rFonts w:ascii="Candara" w:hAnsi="Candara" w:cs="Calibri"/>
                <w:lang w:val="fr-FR"/>
              </w:rPr>
              <w:t>Rapport de formation des agents enquêteurs</w:t>
            </w:r>
          </w:p>
          <w:p w14:paraId="2E280027" w14:textId="77777777" w:rsidR="00476D60" w:rsidRPr="00A06912" w:rsidRDefault="00476D60" w:rsidP="00476D60">
            <w:pPr>
              <w:widowControl w:val="0"/>
              <w:numPr>
                <w:ilvl w:val="0"/>
                <w:numId w:val="28"/>
              </w:numPr>
              <w:spacing w:after="0" w:line="276" w:lineRule="auto"/>
              <w:jc w:val="both"/>
              <w:rPr>
                <w:rFonts w:ascii="Candara" w:hAnsi="Candara" w:cs="Calibri"/>
                <w:lang w:val="fr-FR"/>
              </w:rPr>
            </w:pPr>
            <w:r w:rsidRPr="00A06912">
              <w:rPr>
                <w:rFonts w:ascii="Candara" w:hAnsi="Candara" w:cs="Calibri"/>
                <w:lang w:val="fr-FR"/>
              </w:rPr>
              <w:t>Listes de présence des agents enquêteurs à la formation (numéro téléphone et signature)</w:t>
            </w:r>
          </w:p>
          <w:p w14:paraId="4F9A93A9" w14:textId="77777777" w:rsidR="00476D60" w:rsidRPr="00A06912" w:rsidRDefault="00476D60" w:rsidP="00476D60">
            <w:pPr>
              <w:widowControl w:val="0"/>
              <w:numPr>
                <w:ilvl w:val="0"/>
                <w:numId w:val="28"/>
              </w:numPr>
              <w:spacing w:after="0" w:line="276" w:lineRule="auto"/>
              <w:jc w:val="both"/>
              <w:rPr>
                <w:rFonts w:ascii="Candara" w:hAnsi="Candara" w:cs="Calibri"/>
                <w:lang w:val="fr-FR"/>
              </w:rPr>
            </w:pPr>
            <w:r w:rsidRPr="00A06912">
              <w:rPr>
                <w:rFonts w:ascii="Candara" w:hAnsi="Candara" w:cs="Calibri"/>
                <w:lang w:val="fr-FR"/>
              </w:rPr>
              <w:t>Résultats d’évaluation des agents enquêteurs</w:t>
            </w:r>
          </w:p>
          <w:p w14:paraId="781F9CC6" w14:textId="77777777" w:rsidR="00476D60" w:rsidRPr="00A06912" w:rsidRDefault="00476D60" w:rsidP="00476D60">
            <w:pPr>
              <w:widowControl w:val="0"/>
              <w:numPr>
                <w:ilvl w:val="0"/>
                <w:numId w:val="28"/>
              </w:numPr>
              <w:spacing w:after="0" w:line="276" w:lineRule="auto"/>
              <w:jc w:val="both"/>
              <w:rPr>
                <w:rFonts w:ascii="Candara" w:hAnsi="Candara" w:cs="Calibri"/>
                <w:lang w:val="fr-FR"/>
              </w:rPr>
            </w:pPr>
            <w:r w:rsidRPr="00A06912">
              <w:rPr>
                <w:rFonts w:ascii="Candara" w:hAnsi="Candara" w:cs="Calibri"/>
                <w:lang w:val="fr-FR"/>
              </w:rPr>
              <w:t>Rapport d’enquête de terrain (rapport préliminaire)</w:t>
            </w:r>
          </w:p>
          <w:p w14:paraId="6FCE44B9" w14:textId="77777777" w:rsidR="00476D60" w:rsidRPr="00A06912" w:rsidRDefault="00476D60" w:rsidP="00476D60">
            <w:pPr>
              <w:widowControl w:val="0"/>
              <w:numPr>
                <w:ilvl w:val="0"/>
                <w:numId w:val="28"/>
              </w:numPr>
              <w:spacing w:after="0" w:line="276" w:lineRule="auto"/>
              <w:jc w:val="both"/>
              <w:rPr>
                <w:rFonts w:ascii="Candara" w:hAnsi="Candara" w:cs="Calibri"/>
                <w:lang w:val="fr-FR"/>
              </w:rPr>
            </w:pPr>
            <w:r w:rsidRPr="00A06912">
              <w:rPr>
                <w:rFonts w:ascii="Candara" w:hAnsi="Candara" w:cs="Calibri"/>
                <w:lang w:val="fr-FR"/>
              </w:rPr>
              <w:t xml:space="preserve">Données envoyées vers </w:t>
            </w:r>
            <w:proofErr w:type="spellStart"/>
            <w:r w:rsidRPr="00A06912">
              <w:rPr>
                <w:rFonts w:ascii="Candara" w:hAnsi="Candara" w:cs="Calibri"/>
                <w:lang w:val="fr-FR"/>
              </w:rPr>
              <w:t>SurveyCTO</w:t>
            </w:r>
            <w:proofErr w:type="spellEnd"/>
          </w:p>
          <w:p w14:paraId="572F6385" w14:textId="77777777" w:rsidR="00476D60" w:rsidRPr="00A06912" w:rsidRDefault="00476D60" w:rsidP="00476D60">
            <w:pPr>
              <w:widowControl w:val="0"/>
              <w:numPr>
                <w:ilvl w:val="0"/>
                <w:numId w:val="28"/>
              </w:numPr>
              <w:spacing w:after="0" w:line="276" w:lineRule="auto"/>
              <w:jc w:val="both"/>
              <w:rPr>
                <w:rFonts w:ascii="Candara" w:hAnsi="Candara" w:cs="Calibri"/>
                <w:lang w:val="fr-FR"/>
              </w:rPr>
            </w:pPr>
            <w:r w:rsidRPr="00A06912">
              <w:rPr>
                <w:rFonts w:ascii="Candara" w:hAnsi="Candara" w:cs="Calibri"/>
                <w:lang w:val="fr-FR"/>
              </w:rPr>
              <w:t>Rapport final de l’étude</w:t>
            </w:r>
          </w:p>
          <w:p w14:paraId="5009B7F6" w14:textId="77777777" w:rsidR="00476D60" w:rsidRPr="00A06912" w:rsidRDefault="00476D60" w:rsidP="00476D60">
            <w:pPr>
              <w:widowControl w:val="0"/>
              <w:numPr>
                <w:ilvl w:val="0"/>
                <w:numId w:val="28"/>
              </w:numPr>
              <w:spacing w:after="0" w:line="276" w:lineRule="auto"/>
              <w:jc w:val="both"/>
              <w:rPr>
                <w:rFonts w:ascii="Candara" w:hAnsi="Candara" w:cs="Calibri"/>
                <w:lang w:val="fr-FR"/>
              </w:rPr>
            </w:pPr>
            <w:r w:rsidRPr="00A06912">
              <w:rPr>
                <w:rFonts w:ascii="Candara" w:hAnsi="Candara" w:cs="Calibri"/>
                <w:lang w:val="fr-FR"/>
              </w:rPr>
              <w:t>Base de données et programme do</w:t>
            </w:r>
            <w:r>
              <w:rPr>
                <w:rFonts w:ascii="Candara" w:hAnsi="Candara" w:cs="Calibri"/>
                <w:lang w:val="fr-FR"/>
              </w:rPr>
              <w:t xml:space="preserve"> </w:t>
            </w:r>
            <w:r w:rsidRPr="00A06912">
              <w:rPr>
                <w:rFonts w:ascii="Candara" w:hAnsi="Candara" w:cs="Calibri"/>
                <w:lang w:val="fr-FR"/>
              </w:rPr>
              <w:t>file</w:t>
            </w:r>
          </w:p>
          <w:p w14:paraId="1FE33F9F" w14:textId="77777777" w:rsidR="00476D60" w:rsidRPr="00A06912" w:rsidRDefault="00476D60" w:rsidP="00476D60">
            <w:pPr>
              <w:widowControl w:val="0"/>
              <w:numPr>
                <w:ilvl w:val="0"/>
                <w:numId w:val="28"/>
              </w:numPr>
              <w:spacing w:after="0" w:line="276" w:lineRule="auto"/>
              <w:jc w:val="both"/>
              <w:rPr>
                <w:rFonts w:ascii="Candara" w:hAnsi="Candara" w:cs="Calibri"/>
                <w:lang w:val="fr-FR"/>
              </w:rPr>
            </w:pPr>
            <w:r w:rsidRPr="00A06912">
              <w:rPr>
                <w:rFonts w:ascii="Candara" w:hAnsi="Candara" w:cs="Calibri"/>
                <w:lang w:val="fr-FR"/>
              </w:rPr>
              <w:t>Facture définitive</w:t>
            </w:r>
          </w:p>
          <w:p w14:paraId="6C0C75C6" w14:textId="77777777" w:rsidR="00476D60" w:rsidRPr="00A06912" w:rsidRDefault="00476D60" w:rsidP="00F83B44">
            <w:pPr>
              <w:spacing w:line="276" w:lineRule="auto"/>
              <w:jc w:val="both"/>
              <w:rPr>
                <w:rFonts w:ascii="Candara" w:hAnsi="Candara" w:cs="Calibri"/>
                <w:lang w:val="fr-FR"/>
              </w:rPr>
            </w:pPr>
          </w:p>
        </w:tc>
        <w:tc>
          <w:tcPr>
            <w:tcW w:w="1276" w:type="dxa"/>
            <w:shd w:val="clear" w:color="auto" w:fill="auto"/>
          </w:tcPr>
          <w:p w14:paraId="350F23EB" w14:textId="77777777" w:rsidR="00476D60" w:rsidRPr="00A06912" w:rsidRDefault="00476D60" w:rsidP="00F83B44">
            <w:pPr>
              <w:spacing w:line="276" w:lineRule="auto"/>
              <w:jc w:val="both"/>
              <w:rPr>
                <w:rFonts w:ascii="Candara" w:hAnsi="Candara" w:cs="Calibri"/>
                <w:lang w:val="fr-FR"/>
              </w:rPr>
            </w:pPr>
          </w:p>
          <w:p w14:paraId="20E1B2EF" w14:textId="77777777" w:rsidR="00476D60" w:rsidRPr="00A06912" w:rsidRDefault="00476D60" w:rsidP="00F83B44">
            <w:pPr>
              <w:spacing w:line="276" w:lineRule="auto"/>
              <w:jc w:val="both"/>
              <w:rPr>
                <w:rFonts w:ascii="Candara" w:hAnsi="Candara" w:cs="Calibri"/>
                <w:lang w:val="fr-FR"/>
              </w:rPr>
            </w:pPr>
          </w:p>
          <w:p w14:paraId="0D9A3605" w14:textId="77777777" w:rsidR="00476D60" w:rsidRPr="00A06912" w:rsidRDefault="00476D60" w:rsidP="00F83B44">
            <w:pPr>
              <w:spacing w:line="276" w:lineRule="auto"/>
              <w:jc w:val="both"/>
              <w:rPr>
                <w:rFonts w:ascii="Candara" w:hAnsi="Candara" w:cs="Calibri"/>
                <w:lang w:val="fr-FR"/>
              </w:rPr>
            </w:pPr>
            <w:r w:rsidRPr="00A06912">
              <w:rPr>
                <w:rFonts w:ascii="Candara" w:hAnsi="Candara" w:cs="Calibri"/>
                <w:lang w:val="fr-FR"/>
              </w:rPr>
              <w:t>Oui</w:t>
            </w:r>
          </w:p>
        </w:tc>
      </w:tr>
    </w:tbl>
    <w:p w14:paraId="42D95B12" w14:textId="77777777" w:rsidR="00476D60" w:rsidRPr="00204F05" w:rsidRDefault="00476D60" w:rsidP="00476D60">
      <w:pPr>
        <w:spacing w:line="276" w:lineRule="auto"/>
        <w:jc w:val="both"/>
        <w:rPr>
          <w:rFonts w:ascii="Candara" w:hAnsi="Candara" w:cs="Calibri"/>
          <w:sz w:val="24"/>
          <w:szCs w:val="24"/>
          <w:lang w:val="fr-FR"/>
        </w:rPr>
      </w:pPr>
    </w:p>
    <w:p w14:paraId="27878FFE" w14:textId="77777777" w:rsidR="00476D60" w:rsidRPr="00A06912" w:rsidRDefault="00476D60" w:rsidP="00476D60">
      <w:pPr>
        <w:spacing w:line="276" w:lineRule="auto"/>
        <w:ind w:left="2160" w:hanging="2160"/>
        <w:jc w:val="both"/>
        <w:rPr>
          <w:rFonts w:ascii="Candara" w:hAnsi="Candara" w:cs="Calibri"/>
          <w:lang w:val="fr-FR"/>
        </w:rPr>
      </w:pPr>
      <w:r w:rsidRPr="00A06912">
        <w:rPr>
          <w:rFonts w:ascii="Candara" w:hAnsi="Candara" w:cs="Calibri"/>
          <w:b/>
          <w:bCs/>
          <w:lang w:val="fr-FR"/>
        </w:rPr>
        <w:t>Condition de paiement :</w:t>
      </w:r>
      <w:r w:rsidRPr="00A06912">
        <w:rPr>
          <w:rFonts w:ascii="Candara" w:hAnsi="Candara" w:cs="Calibri"/>
          <w:lang w:val="fr-FR"/>
        </w:rPr>
        <w:tab/>
      </w:r>
    </w:p>
    <w:p w14:paraId="16ABBD92" w14:textId="77777777" w:rsidR="00476D60" w:rsidRPr="00A06912" w:rsidRDefault="00476D60" w:rsidP="00476D60">
      <w:pPr>
        <w:spacing w:line="276" w:lineRule="auto"/>
        <w:jc w:val="both"/>
        <w:rPr>
          <w:rFonts w:ascii="Candara" w:hAnsi="Candara" w:cs="Calibri"/>
          <w:lang w:val="fr-FR"/>
        </w:rPr>
      </w:pPr>
      <w:r w:rsidRPr="00A06912">
        <w:rPr>
          <w:rFonts w:ascii="Candara" w:hAnsi="Candara" w:cs="Calibri"/>
          <w:lang w:val="fr-FR"/>
        </w:rPr>
        <w:t>Soumettre une preuve de livraison conformément à la clause 5 de l'annexe 1, accompagnée de l'original complet des pièces justificatives.</w:t>
      </w:r>
    </w:p>
    <w:p w14:paraId="559449A7" w14:textId="77777777" w:rsidR="00476D60" w:rsidRPr="001B0DCE" w:rsidRDefault="00476D60" w:rsidP="00476D60">
      <w:pPr>
        <w:rPr>
          <w:lang w:val="fr-FR"/>
        </w:rPr>
      </w:pPr>
    </w:p>
    <w:p w14:paraId="34DA6DAD" w14:textId="77777777" w:rsidR="00476D60" w:rsidRPr="00D83D48" w:rsidRDefault="00476D60" w:rsidP="00476D60">
      <w:pPr>
        <w:rPr>
          <w:lang w:val="fr-FR"/>
        </w:rPr>
      </w:pPr>
    </w:p>
    <w:p w14:paraId="2680A821" w14:textId="77777777" w:rsidR="00476D60" w:rsidRDefault="00476D60">
      <w:pPr>
        <w:rPr>
          <w:rFonts w:ascii="Calibri" w:eastAsia="Times New Roman" w:hAnsi="Calibri" w:cs="Calibri"/>
          <w:b/>
          <w:spacing w:val="-5"/>
          <w:lang w:val="fr-FR"/>
        </w:rPr>
      </w:pPr>
    </w:p>
    <w:p w14:paraId="208143D7" w14:textId="77777777" w:rsidR="00476D60" w:rsidRDefault="00476D60">
      <w:pPr>
        <w:rPr>
          <w:rFonts w:ascii="Calibri" w:eastAsia="Times New Roman" w:hAnsi="Calibri" w:cs="Calibri"/>
          <w:b/>
          <w:spacing w:val="-5"/>
          <w:lang w:val="fr-FR"/>
        </w:rPr>
      </w:pPr>
    </w:p>
    <w:p w14:paraId="1A3092ED" w14:textId="77777777" w:rsidR="00476D60" w:rsidRDefault="00476D60">
      <w:pPr>
        <w:rPr>
          <w:rFonts w:ascii="Calibri" w:eastAsia="Times New Roman" w:hAnsi="Calibri" w:cs="Calibri"/>
          <w:b/>
          <w:spacing w:val="-5"/>
          <w:lang w:val="fr-FR"/>
        </w:rPr>
      </w:pPr>
    </w:p>
    <w:p w14:paraId="01D6A6E0" w14:textId="77777777" w:rsidR="00476D60" w:rsidRDefault="00476D60">
      <w:pPr>
        <w:rPr>
          <w:rFonts w:ascii="Calibri" w:eastAsia="Times New Roman" w:hAnsi="Calibri" w:cs="Calibri"/>
          <w:b/>
          <w:spacing w:val="-5"/>
          <w:lang w:val="fr-FR"/>
        </w:rPr>
      </w:pPr>
    </w:p>
    <w:p w14:paraId="1BE5B57C" w14:textId="77777777" w:rsidR="00476D60" w:rsidRDefault="00476D60">
      <w:pPr>
        <w:rPr>
          <w:rFonts w:ascii="Calibri" w:eastAsia="Times New Roman" w:hAnsi="Calibri" w:cs="Calibri"/>
          <w:b/>
          <w:spacing w:val="-5"/>
          <w:lang w:val="fr-FR"/>
        </w:rPr>
      </w:pPr>
    </w:p>
    <w:p w14:paraId="27577B3E" w14:textId="77777777" w:rsidR="00476D60" w:rsidRDefault="00476D60">
      <w:pPr>
        <w:rPr>
          <w:rFonts w:ascii="Calibri" w:eastAsia="Times New Roman" w:hAnsi="Calibri" w:cs="Calibri"/>
          <w:b/>
          <w:spacing w:val="-5"/>
          <w:lang w:val="fr-FR"/>
        </w:rPr>
      </w:pPr>
    </w:p>
    <w:p w14:paraId="7A24A6A5" w14:textId="0018698F" w:rsidR="00476D60" w:rsidRDefault="00476D60">
      <w:pPr>
        <w:rPr>
          <w:rFonts w:ascii="Calibri" w:eastAsia="Times New Roman" w:hAnsi="Calibri" w:cs="Calibri"/>
          <w:b/>
          <w:spacing w:val="-5"/>
          <w:lang w:val="fr-FR"/>
        </w:rPr>
      </w:pPr>
    </w:p>
    <w:p w14:paraId="4396308C" w14:textId="73D13B08" w:rsidR="00476D60" w:rsidRDefault="00476D60">
      <w:pPr>
        <w:rPr>
          <w:rFonts w:ascii="Calibri" w:eastAsia="Times New Roman" w:hAnsi="Calibri" w:cs="Calibri"/>
          <w:b/>
          <w:spacing w:val="-5"/>
          <w:lang w:val="fr-FR"/>
        </w:rPr>
      </w:pPr>
    </w:p>
    <w:p w14:paraId="3CD29705" w14:textId="75F8710E" w:rsidR="00476D60" w:rsidRDefault="00476D60">
      <w:pPr>
        <w:rPr>
          <w:rFonts w:ascii="Calibri" w:eastAsia="Times New Roman" w:hAnsi="Calibri" w:cs="Calibri"/>
          <w:b/>
          <w:spacing w:val="-5"/>
          <w:lang w:val="fr-FR"/>
        </w:rPr>
      </w:pPr>
    </w:p>
    <w:p w14:paraId="571628E9" w14:textId="082C522F" w:rsidR="00476D60" w:rsidRDefault="00476D60">
      <w:pPr>
        <w:rPr>
          <w:rFonts w:ascii="Calibri" w:eastAsia="Times New Roman" w:hAnsi="Calibri" w:cs="Calibri"/>
          <w:b/>
          <w:spacing w:val="-5"/>
          <w:lang w:val="fr-FR"/>
        </w:rPr>
      </w:pPr>
    </w:p>
    <w:p w14:paraId="6D2DB0C3" w14:textId="0CE32BF8" w:rsidR="00476D60" w:rsidRDefault="00476D60">
      <w:pPr>
        <w:rPr>
          <w:rFonts w:ascii="Calibri" w:eastAsia="Times New Roman" w:hAnsi="Calibri" w:cs="Calibri"/>
          <w:b/>
          <w:spacing w:val="-5"/>
          <w:lang w:val="fr-FR"/>
        </w:rPr>
      </w:pPr>
    </w:p>
    <w:p w14:paraId="021A77C7" w14:textId="20D60374" w:rsidR="00476D60" w:rsidRDefault="00476D60">
      <w:pPr>
        <w:rPr>
          <w:rFonts w:ascii="Calibri" w:eastAsia="Times New Roman" w:hAnsi="Calibri" w:cs="Calibri"/>
          <w:b/>
          <w:spacing w:val="-5"/>
          <w:lang w:val="fr-FR"/>
        </w:rPr>
      </w:pPr>
      <w:r>
        <w:rPr>
          <w:rFonts w:ascii="Calibri" w:eastAsia="Times New Roman" w:hAnsi="Calibri" w:cs="Calibri"/>
          <w:b/>
          <w:spacing w:val="-5"/>
          <w:lang w:val="fr-FR"/>
        </w:rPr>
        <w:lastRenderedPageBreak/>
        <w:t xml:space="preserve">Annexe </w:t>
      </w:r>
      <w:r w:rsidR="00456312">
        <w:rPr>
          <w:rFonts w:ascii="Calibri" w:eastAsia="Times New Roman" w:hAnsi="Calibri" w:cs="Calibri"/>
          <w:b/>
          <w:spacing w:val="-5"/>
          <w:lang w:val="fr-FR"/>
        </w:rPr>
        <w:t>2</w:t>
      </w:r>
      <w:r>
        <w:rPr>
          <w:rFonts w:ascii="Calibri" w:eastAsia="Times New Roman" w:hAnsi="Calibri" w:cs="Calibri"/>
          <w:b/>
          <w:spacing w:val="-5"/>
          <w:lang w:val="fr-FR"/>
        </w:rPr>
        <w:t> : Termes de références pour l’enquête de Couverture des cycles</w:t>
      </w:r>
    </w:p>
    <w:p w14:paraId="18D65CA3" w14:textId="07828361" w:rsidR="00476D60" w:rsidRDefault="00476D60" w:rsidP="00476D60">
      <w:pPr>
        <w:spacing w:line="276" w:lineRule="auto"/>
        <w:jc w:val="center"/>
        <w:rPr>
          <w:rFonts w:ascii="Candara" w:hAnsi="Candara" w:cs="Arial"/>
          <w:b/>
          <w:sz w:val="24"/>
          <w:szCs w:val="24"/>
          <w:lang w:val="fr-FR"/>
        </w:rPr>
      </w:pPr>
      <w:r>
        <w:rPr>
          <w:rFonts w:ascii="Candara" w:hAnsi="Candara" w:cs="Arial"/>
          <w:b/>
          <w:sz w:val="24"/>
          <w:szCs w:val="24"/>
          <w:lang w:val="fr-FR"/>
        </w:rPr>
        <w:t>TERME DE REFERENCE(TDR)/</w:t>
      </w:r>
      <w:r w:rsidR="000271F3">
        <w:rPr>
          <w:rFonts w:ascii="Candara" w:hAnsi="Candara" w:cs="Arial"/>
          <w:b/>
          <w:sz w:val="24"/>
          <w:szCs w:val="24"/>
          <w:lang w:val="fr-FR"/>
        </w:rPr>
        <w:t>ENQUETE DE COUVERTURE</w:t>
      </w:r>
    </w:p>
    <w:p w14:paraId="72AC9860" w14:textId="77777777" w:rsidR="00476D60" w:rsidRDefault="00476D60" w:rsidP="00476D60">
      <w:pPr>
        <w:spacing w:line="276" w:lineRule="auto"/>
        <w:jc w:val="both"/>
        <w:rPr>
          <w:rFonts w:ascii="Candara" w:hAnsi="Candara" w:cs="Arial"/>
          <w:b/>
          <w:sz w:val="24"/>
          <w:szCs w:val="24"/>
          <w:lang w:val="fr-FR"/>
        </w:rPr>
      </w:pPr>
    </w:p>
    <w:p w14:paraId="625E9FCC" w14:textId="77777777" w:rsidR="00476D60" w:rsidRPr="00C002EC" w:rsidRDefault="00476D60" w:rsidP="00476D60">
      <w:pPr>
        <w:spacing w:line="276" w:lineRule="auto"/>
        <w:jc w:val="both"/>
        <w:rPr>
          <w:rFonts w:ascii="Candara" w:hAnsi="Candara" w:cs="Arial"/>
          <w:b/>
          <w:sz w:val="28"/>
          <w:szCs w:val="28"/>
          <w:lang w:val="fr-FR"/>
        </w:rPr>
      </w:pPr>
      <w:r>
        <w:rPr>
          <w:rFonts w:ascii="Candara" w:hAnsi="Candara" w:cs="Arial"/>
          <w:b/>
          <w:sz w:val="28"/>
          <w:szCs w:val="28"/>
          <w:lang w:val="fr-FR"/>
        </w:rPr>
        <w:t xml:space="preserve">1. </w:t>
      </w:r>
      <w:r w:rsidRPr="00C002EC">
        <w:rPr>
          <w:rFonts w:ascii="Candara" w:hAnsi="Candara" w:cs="Arial"/>
          <w:b/>
          <w:sz w:val="28"/>
          <w:szCs w:val="28"/>
          <w:lang w:val="fr-FR"/>
        </w:rPr>
        <w:t>Contexte/Justification</w:t>
      </w:r>
    </w:p>
    <w:p w14:paraId="632537F0" w14:textId="77777777" w:rsidR="00476D60" w:rsidRDefault="00476D60" w:rsidP="00476D60">
      <w:pPr>
        <w:spacing w:line="276" w:lineRule="auto"/>
        <w:jc w:val="both"/>
        <w:rPr>
          <w:rFonts w:ascii="Candara" w:hAnsi="Candara" w:cs="Arial"/>
          <w:b/>
          <w:sz w:val="24"/>
          <w:szCs w:val="24"/>
          <w:lang w:val="fr-FR"/>
        </w:rPr>
      </w:pPr>
    </w:p>
    <w:p w14:paraId="25DFE26F" w14:textId="77777777" w:rsidR="00476D60" w:rsidRPr="00F544E6" w:rsidRDefault="00476D60" w:rsidP="00476D60">
      <w:pPr>
        <w:spacing w:after="120" w:line="360" w:lineRule="auto"/>
        <w:jc w:val="both"/>
        <w:rPr>
          <w:rFonts w:ascii="Candara" w:hAnsi="Candara" w:cs="Arial"/>
          <w:lang w:val="fr-FR"/>
        </w:rPr>
      </w:pPr>
      <w:r w:rsidRPr="00F544E6">
        <w:rPr>
          <w:rFonts w:ascii="Candara" w:hAnsi="Candara" w:cs="Arial"/>
          <w:lang w:val="fr-FR"/>
        </w:rPr>
        <w:t>Le Tchad à l’instar des autres pays de Malaria consortium évalue la mise en œuvre des cycles de la campagne CPS à travers une enquête dite de couverture. Celle-ci est réalisée par Malaria Consortium chaque année à la fin de la campagne pour déterminer dans quelle mesure le projet de chimio prévention du paludisme saisonnier de Malaria Consortium a permis de traiter avec succès les enfants de moins de 5 ans au Tchad. L’aspect le plus important du plan d’échantillonnage à adopter consiste à offrir une image plus fidèle de l’atteinte des objectifs de la CPS et à comprendre le degré du respect du protocole CPS.</w:t>
      </w:r>
    </w:p>
    <w:p w14:paraId="18FE738D" w14:textId="77777777" w:rsidR="00476D60" w:rsidRPr="00F544E6" w:rsidRDefault="00476D60" w:rsidP="00476D60">
      <w:pPr>
        <w:spacing w:line="360" w:lineRule="auto"/>
        <w:jc w:val="both"/>
        <w:rPr>
          <w:rFonts w:ascii="Candara" w:hAnsi="Candara" w:cs="Arial"/>
          <w:lang w:val="fr-FR"/>
        </w:rPr>
      </w:pPr>
      <w:r w:rsidRPr="00F544E6">
        <w:rPr>
          <w:rFonts w:ascii="Candara" w:hAnsi="Candara" w:cs="Arial"/>
          <w:lang w:val="fr-FR"/>
        </w:rPr>
        <w:t>La méthodologie utilisée est celle de LQAS</w:t>
      </w:r>
      <w:r>
        <w:rPr>
          <w:rFonts w:ascii="Candara" w:hAnsi="Candara" w:cs="Arial"/>
          <w:lang w:val="fr-FR"/>
        </w:rPr>
        <w:t>, mais avec plusieurs niveaux de stratifications selon les milieux de résidence (Urbain/rural), structure sanitaire (DS et CS)</w:t>
      </w:r>
      <w:r w:rsidRPr="00F544E6">
        <w:rPr>
          <w:rFonts w:ascii="Candara" w:hAnsi="Candara" w:cs="Arial"/>
          <w:lang w:val="fr-FR"/>
        </w:rPr>
        <w:t xml:space="preserve"> </w:t>
      </w:r>
      <w:r>
        <w:rPr>
          <w:rFonts w:ascii="Candara" w:hAnsi="Candara" w:cs="Arial"/>
          <w:lang w:val="fr-FR"/>
        </w:rPr>
        <w:t xml:space="preserve">et unité épidémiologique. Cette </w:t>
      </w:r>
      <w:r w:rsidRPr="00F544E6">
        <w:rPr>
          <w:rFonts w:ascii="Candara" w:hAnsi="Candara" w:cs="Arial"/>
          <w:lang w:val="fr-FR"/>
        </w:rPr>
        <w:t>méthode standard</w:t>
      </w:r>
      <w:r>
        <w:rPr>
          <w:rFonts w:ascii="Candara" w:hAnsi="Candara" w:cs="Arial"/>
          <w:lang w:val="fr-FR"/>
        </w:rPr>
        <w:t xml:space="preserve"> de l’OMS est utilisée pour</w:t>
      </w:r>
      <w:r w:rsidRPr="00F544E6">
        <w:rPr>
          <w:rFonts w:ascii="Candara" w:hAnsi="Candara" w:cs="Arial"/>
          <w:lang w:val="fr-FR"/>
        </w:rPr>
        <w:t xml:space="preserve"> évalu</w:t>
      </w:r>
      <w:r>
        <w:rPr>
          <w:rFonts w:ascii="Candara" w:hAnsi="Candara" w:cs="Arial"/>
          <w:lang w:val="fr-FR"/>
        </w:rPr>
        <w:t>er le</w:t>
      </w:r>
      <w:r w:rsidRPr="00F544E6">
        <w:rPr>
          <w:rFonts w:ascii="Candara" w:hAnsi="Candara" w:cs="Arial"/>
          <w:lang w:val="fr-FR"/>
        </w:rPr>
        <w:t xml:space="preserve"> programme en analysant les données recueillies auprès d’un petit échantillon.  En 1991, un rapport de l’Organisation Mondiale de la Santé (OMS) sur les méthodes épidémiologiques et statistiques pour l’évaluation rapide des systèmes de santé a conclu que le LQAS était une </w:t>
      </w:r>
      <w:proofErr w:type="gramStart"/>
      <w:r w:rsidRPr="00F544E6">
        <w:rPr>
          <w:rFonts w:ascii="Candara" w:hAnsi="Candara" w:cs="Arial"/>
          <w:lang w:val="fr-FR"/>
        </w:rPr>
        <w:t>des méthodes disponible</w:t>
      </w:r>
      <w:proofErr w:type="gramEnd"/>
      <w:r w:rsidRPr="00F544E6">
        <w:rPr>
          <w:rFonts w:ascii="Candara" w:hAnsi="Candara" w:cs="Arial"/>
          <w:lang w:val="fr-FR"/>
        </w:rPr>
        <w:t xml:space="preserve"> la plus pratique et a encouragé son développement pour continuer à surveiller les programmes de santé (</w:t>
      </w:r>
      <w:proofErr w:type="spellStart"/>
      <w:r w:rsidRPr="00F544E6">
        <w:rPr>
          <w:rFonts w:ascii="Candara" w:hAnsi="Candara" w:cs="Arial"/>
          <w:lang w:val="fr-FR"/>
        </w:rPr>
        <w:t>Measure</w:t>
      </w:r>
      <w:proofErr w:type="spellEnd"/>
      <w:r w:rsidRPr="00F544E6">
        <w:rPr>
          <w:rFonts w:ascii="Candara" w:hAnsi="Candara" w:cs="Arial"/>
          <w:lang w:val="fr-FR"/>
        </w:rPr>
        <w:t xml:space="preserve"> 1998). Les informations recueillies au cours de l’enquête seront cruciales pour améliorer la mise en œuvre de la CPS en aidant à corriger les éventue</w:t>
      </w:r>
      <w:r>
        <w:rPr>
          <w:rFonts w:ascii="Candara" w:hAnsi="Candara" w:cs="Arial"/>
          <w:lang w:val="fr-FR"/>
        </w:rPr>
        <w:t>lles insuffisances pour l’année prochaine</w:t>
      </w:r>
      <w:r w:rsidRPr="00F544E6">
        <w:rPr>
          <w:rFonts w:ascii="Candara" w:hAnsi="Candara" w:cs="Arial"/>
          <w:lang w:val="fr-FR"/>
        </w:rPr>
        <w:t>.</w:t>
      </w:r>
    </w:p>
    <w:p w14:paraId="74A396AD" w14:textId="77777777" w:rsidR="00476D60" w:rsidRDefault="00476D60" w:rsidP="00476D60">
      <w:pPr>
        <w:spacing w:line="276" w:lineRule="auto"/>
        <w:jc w:val="both"/>
        <w:rPr>
          <w:rFonts w:ascii="Candara" w:hAnsi="Candara" w:cs="Arial"/>
          <w:b/>
          <w:sz w:val="24"/>
          <w:szCs w:val="24"/>
          <w:lang w:val="fr-FR"/>
        </w:rPr>
      </w:pPr>
    </w:p>
    <w:p w14:paraId="42D85C5D" w14:textId="77777777" w:rsidR="00476D60" w:rsidRPr="00C002EC" w:rsidRDefault="00476D60" w:rsidP="00476D60">
      <w:pPr>
        <w:spacing w:line="360" w:lineRule="auto"/>
        <w:jc w:val="both"/>
        <w:rPr>
          <w:rFonts w:ascii="Candara" w:hAnsi="Candara" w:cs="Arial"/>
          <w:b/>
          <w:sz w:val="28"/>
          <w:szCs w:val="28"/>
          <w:lang w:val="fr-FR"/>
        </w:rPr>
      </w:pPr>
      <w:r>
        <w:rPr>
          <w:rFonts w:ascii="Candara" w:hAnsi="Candara" w:cs="Arial"/>
          <w:b/>
          <w:sz w:val="28"/>
          <w:szCs w:val="28"/>
          <w:lang w:val="fr-FR"/>
        </w:rPr>
        <w:t>2.</w:t>
      </w:r>
      <w:r w:rsidRPr="00C002EC">
        <w:rPr>
          <w:rFonts w:ascii="Candara" w:hAnsi="Candara" w:cs="Arial"/>
          <w:b/>
          <w:sz w:val="28"/>
          <w:szCs w:val="28"/>
          <w:lang w:val="fr-FR"/>
        </w:rPr>
        <w:t xml:space="preserve"> Objectifs </w:t>
      </w:r>
    </w:p>
    <w:p w14:paraId="015C3CD2" w14:textId="77777777" w:rsidR="00476D60" w:rsidRPr="00F544E6" w:rsidRDefault="00476D60" w:rsidP="00476D60">
      <w:pPr>
        <w:spacing w:after="120" w:line="360" w:lineRule="auto"/>
        <w:jc w:val="both"/>
        <w:rPr>
          <w:rFonts w:ascii="Candara" w:hAnsi="Candara" w:cs="Arial"/>
          <w:lang w:val="fr-FR"/>
        </w:rPr>
      </w:pPr>
      <w:r w:rsidRPr="00F544E6">
        <w:rPr>
          <w:rFonts w:ascii="Candara" w:hAnsi="Candara" w:cs="Arial"/>
          <w:lang w:val="fr-FR"/>
        </w:rPr>
        <w:t>L’objectif principal de</w:t>
      </w:r>
      <w:r>
        <w:rPr>
          <w:rFonts w:ascii="Candara" w:hAnsi="Candara" w:cs="Arial"/>
          <w:lang w:val="fr-FR"/>
        </w:rPr>
        <w:t xml:space="preserve"> l’enquête de couverture</w:t>
      </w:r>
      <w:r w:rsidRPr="00F544E6">
        <w:rPr>
          <w:rFonts w:ascii="Candara" w:hAnsi="Candara" w:cs="Arial"/>
          <w:lang w:val="fr-FR"/>
        </w:rPr>
        <w:t xml:space="preserve"> de la CPS est de déterminer dans quelle mesure le projet de chimio prévention du paludisme saisonnier de Malaria Consortium a permis de traiter avec succès </w:t>
      </w:r>
      <w:r>
        <w:rPr>
          <w:rFonts w:ascii="Candara" w:hAnsi="Candara" w:cs="Arial"/>
          <w:lang w:val="fr-FR"/>
        </w:rPr>
        <w:t>la cible d</w:t>
      </w:r>
      <w:r w:rsidRPr="00F544E6">
        <w:rPr>
          <w:rFonts w:ascii="Candara" w:hAnsi="Candara" w:cs="Arial"/>
          <w:lang w:val="fr-FR"/>
        </w:rPr>
        <w:t xml:space="preserve">es enfants de 3 – 59 mois au Tchad, particulièrement dans les 27 Districts Sanitaires où </w:t>
      </w:r>
      <w:r>
        <w:rPr>
          <w:rFonts w:ascii="Candara" w:hAnsi="Candara" w:cs="Arial"/>
          <w:lang w:val="fr-FR"/>
        </w:rPr>
        <w:t>Malaria Consortium</w:t>
      </w:r>
      <w:r w:rsidRPr="00F544E6">
        <w:rPr>
          <w:rFonts w:ascii="Candara" w:hAnsi="Candara" w:cs="Arial"/>
          <w:lang w:val="fr-FR"/>
        </w:rPr>
        <w:t xml:space="preserve"> intervient. </w:t>
      </w:r>
    </w:p>
    <w:p w14:paraId="4A960062" w14:textId="77777777" w:rsidR="00476D60" w:rsidRPr="00F544E6" w:rsidRDefault="00476D60" w:rsidP="00476D60">
      <w:pPr>
        <w:spacing w:after="120" w:line="360" w:lineRule="auto"/>
        <w:jc w:val="both"/>
        <w:rPr>
          <w:rFonts w:ascii="Candara" w:hAnsi="Candara" w:cs="Arial"/>
          <w:lang w:val="fr-FR"/>
        </w:rPr>
      </w:pPr>
      <w:r>
        <w:rPr>
          <w:rFonts w:ascii="Candara" w:hAnsi="Candara" w:cs="Arial"/>
          <w:lang w:val="fr-FR"/>
        </w:rPr>
        <w:t>Il s’agit spécifiquement de</w:t>
      </w:r>
      <w:r w:rsidRPr="00F544E6">
        <w:rPr>
          <w:rFonts w:ascii="Candara" w:hAnsi="Candara" w:cs="Arial"/>
          <w:lang w:val="fr-FR"/>
        </w:rPr>
        <w:t xml:space="preserve"> répondre à quatre questions fondamentales :</w:t>
      </w:r>
    </w:p>
    <w:p w14:paraId="77997D00" w14:textId="77777777" w:rsidR="00476D60" w:rsidRPr="00F544E6" w:rsidRDefault="00476D60" w:rsidP="00476D60">
      <w:pPr>
        <w:spacing w:after="120" w:line="360" w:lineRule="auto"/>
        <w:ind w:left="720"/>
        <w:jc w:val="both"/>
        <w:rPr>
          <w:rFonts w:ascii="Candara" w:hAnsi="Candara" w:cs="Arial"/>
          <w:lang w:val="fr-FR"/>
        </w:rPr>
      </w:pPr>
      <w:r w:rsidRPr="00F544E6">
        <w:rPr>
          <w:rFonts w:ascii="Candara" w:hAnsi="Candara" w:cs="Arial"/>
          <w:lang w:val="fr-FR"/>
        </w:rPr>
        <w:lastRenderedPageBreak/>
        <w:t>1) Couverture : tous les enfants cibles ont-ils bénéficié de la CPS, sinon quels districts cibles ont été déficients ?</w:t>
      </w:r>
    </w:p>
    <w:p w14:paraId="565D66A7" w14:textId="77777777" w:rsidR="00476D60" w:rsidRPr="00F544E6" w:rsidRDefault="00476D60" w:rsidP="00476D60">
      <w:pPr>
        <w:spacing w:after="120" w:line="360" w:lineRule="auto"/>
        <w:ind w:left="720"/>
        <w:jc w:val="both"/>
        <w:rPr>
          <w:rFonts w:ascii="Candara" w:hAnsi="Candara" w:cs="Arial"/>
          <w:lang w:val="fr-FR"/>
        </w:rPr>
      </w:pPr>
      <w:r w:rsidRPr="00F544E6">
        <w:rPr>
          <w:rFonts w:ascii="Candara" w:hAnsi="Candara" w:cs="Arial"/>
          <w:lang w:val="fr-FR"/>
        </w:rPr>
        <w:t>2) Respect du protocole : les enfants traités ont-ils reçus les traitements complets (DOT le premier jour, administration des doses des jours 2 et 3) ?</w:t>
      </w:r>
    </w:p>
    <w:p w14:paraId="58380609" w14:textId="77777777" w:rsidR="00476D60" w:rsidRPr="00F544E6" w:rsidRDefault="00476D60" w:rsidP="00476D60">
      <w:pPr>
        <w:spacing w:after="120" w:line="360" w:lineRule="auto"/>
        <w:ind w:left="720"/>
        <w:jc w:val="both"/>
        <w:rPr>
          <w:rFonts w:ascii="Candara" w:hAnsi="Candara" w:cs="Arial"/>
          <w:lang w:val="fr-FR"/>
        </w:rPr>
      </w:pPr>
      <w:r w:rsidRPr="00F544E6">
        <w:rPr>
          <w:rFonts w:ascii="Candara" w:hAnsi="Candara" w:cs="Arial"/>
          <w:lang w:val="fr-FR"/>
        </w:rPr>
        <w:t xml:space="preserve">3) Connaissance et information sur la CPS : Les responsables d’enfants sont-elles informées et possèdent-elles une bonne connaissance de la CPS ? </w:t>
      </w:r>
    </w:p>
    <w:p w14:paraId="784C5A49" w14:textId="77777777" w:rsidR="00476D60" w:rsidRPr="00F544E6" w:rsidRDefault="00476D60" w:rsidP="00476D60">
      <w:pPr>
        <w:spacing w:after="120" w:line="360" w:lineRule="auto"/>
        <w:ind w:left="720"/>
        <w:jc w:val="both"/>
        <w:rPr>
          <w:rFonts w:ascii="Candara" w:hAnsi="Candara" w:cs="Arial"/>
          <w:lang w:val="fr-FR"/>
        </w:rPr>
      </w:pPr>
      <w:r w:rsidRPr="00F544E6">
        <w:rPr>
          <w:rFonts w:ascii="Candara" w:hAnsi="Candara" w:cs="Arial"/>
          <w:lang w:val="fr-FR"/>
        </w:rPr>
        <w:t>4) Protection contre COVID-19 : Les agents de santé communautaires utilisent-ils des équipements de protection individuelle ? Livrent-ils les informations sur la prévention de COVID-19 à la communauté ?</w:t>
      </w:r>
    </w:p>
    <w:p w14:paraId="2430AC9D" w14:textId="77777777" w:rsidR="00476D60" w:rsidRPr="00F544E6" w:rsidRDefault="00476D60" w:rsidP="00476D60">
      <w:pPr>
        <w:pStyle w:val="BodyText"/>
        <w:spacing w:line="360" w:lineRule="auto"/>
        <w:rPr>
          <w:rFonts w:ascii="Candara" w:hAnsi="Candara" w:cs="Arial"/>
          <w:sz w:val="22"/>
          <w:lang w:val="fr-FR"/>
        </w:rPr>
      </w:pPr>
      <w:r w:rsidRPr="00F544E6">
        <w:rPr>
          <w:rFonts w:ascii="Candara" w:hAnsi="Candara" w:cs="Arial"/>
          <w:sz w:val="22"/>
          <w:lang w:val="fr-FR"/>
        </w:rPr>
        <w:t xml:space="preserve">Les cibles de cette enquête </w:t>
      </w:r>
      <w:r>
        <w:rPr>
          <w:rFonts w:ascii="Candara" w:hAnsi="Candara" w:cs="Arial"/>
          <w:sz w:val="22"/>
          <w:lang w:val="fr-FR"/>
        </w:rPr>
        <w:t>de couverture</w:t>
      </w:r>
      <w:r w:rsidRPr="00F544E6">
        <w:rPr>
          <w:rFonts w:ascii="Candara" w:hAnsi="Candara" w:cs="Arial"/>
          <w:sz w:val="22"/>
          <w:lang w:val="fr-FR"/>
        </w:rPr>
        <w:t xml:space="preserve"> sont les mères / gardiennes des enfants et les enfants de 3 à 59 mois ayant reçu un traitement lors de la campagne CPS précédente.</w:t>
      </w:r>
    </w:p>
    <w:p w14:paraId="7A5AD3E1" w14:textId="77777777" w:rsidR="00476D60" w:rsidRDefault="00476D60" w:rsidP="00476D60">
      <w:pPr>
        <w:spacing w:line="276" w:lineRule="auto"/>
        <w:jc w:val="both"/>
        <w:rPr>
          <w:rFonts w:ascii="Candara" w:hAnsi="Candara" w:cs="Arial"/>
          <w:lang w:val="fr-FR"/>
        </w:rPr>
      </w:pPr>
      <w:r w:rsidRPr="00F544E6">
        <w:rPr>
          <w:rFonts w:ascii="Candara" w:hAnsi="Candara" w:cs="Arial"/>
          <w:lang w:val="fr-FR"/>
        </w:rPr>
        <w:t>Deux questionnaires sont développés dont un à l’endroit des gardiennes des enfants au sein du ménage et un autre à l’endroit des enfants de 3 à 59 mois résident dans les ménages.</w:t>
      </w:r>
    </w:p>
    <w:p w14:paraId="097F5E92" w14:textId="77777777" w:rsidR="00476D60" w:rsidRDefault="00476D60" w:rsidP="00476D60">
      <w:pPr>
        <w:spacing w:line="276" w:lineRule="auto"/>
        <w:jc w:val="both"/>
        <w:rPr>
          <w:rFonts w:ascii="Candara" w:hAnsi="Candara" w:cs="Arial"/>
          <w:b/>
          <w:sz w:val="24"/>
          <w:szCs w:val="24"/>
          <w:lang w:val="fr-FR"/>
        </w:rPr>
      </w:pPr>
    </w:p>
    <w:p w14:paraId="765BB604" w14:textId="77777777" w:rsidR="00476D60" w:rsidRPr="00B63564" w:rsidRDefault="00476D60" w:rsidP="00476D60">
      <w:pPr>
        <w:spacing w:line="276" w:lineRule="auto"/>
        <w:jc w:val="both"/>
        <w:rPr>
          <w:rFonts w:ascii="Candara" w:hAnsi="Candara" w:cs="Arial"/>
          <w:b/>
          <w:sz w:val="24"/>
          <w:szCs w:val="24"/>
          <w:lang w:val="fr-FR"/>
        </w:rPr>
      </w:pPr>
      <w:r>
        <w:rPr>
          <w:rFonts w:ascii="Candara" w:hAnsi="Candara" w:cs="Arial"/>
          <w:b/>
          <w:sz w:val="24"/>
          <w:szCs w:val="24"/>
          <w:lang w:val="fr-FR"/>
        </w:rPr>
        <w:t>3.</w:t>
      </w:r>
      <w:r w:rsidRPr="00B63564">
        <w:rPr>
          <w:rFonts w:ascii="Candara" w:hAnsi="Candara" w:cs="Arial"/>
          <w:b/>
          <w:sz w:val="24"/>
          <w:szCs w:val="24"/>
          <w:lang w:val="fr-FR"/>
        </w:rPr>
        <w:t xml:space="preserve"> Plan d’échantillonnage de l’enquête de couverture de fin de cycles CPS Tchad 20</w:t>
      </w:r>
      <w:r>
        <w:rPr>
          <w:rFonts w:ascii="Candara" w:hAnsi="Candara" w:cs="Arial"/>
          <w:b/>
          <w:sz w:val="24"/>
          <w:szCs w:val="24"/>
          <w:lang w:val="fr-FR"/>
        </w:rPr>
        <w:t>22</w:t>
      </w:r>
    </w:p>
    <w:p w14:paraId="3762B363" w14:textId="77777777" w:rsidR="00476D60" w:rsidRPr="00B63564" w:rsidRDefault="00476D60" w:rsidP="00476D60">
      <w:pPr>
        <w:spacing w:line="276" w:lineRule="auto"/>
        <w:jc w:val="both"/>
        <w:rPr>
          <w:rFonts w:ascii="Candara" w:hAnsi="Candara" w:cs="Arial"/>
          <w:b/>
          <w:sz w:val="24"/>
          <w:szCs w:val="24"/>
          <w:lang w:val="fr-FR"/>
        </w:rPr>
      </w:pPr>
    </w:p>
    <w:p w14:paraId="6088A139" w14:textId="77777777" w:rsidR="00476D60" w:rsidRPr="005E4E2B" w:rsidRDefault="00476D60" w:rsidP="00476D60">
      <w:pPr>
        <w:spacing w:after="120" w:line="276" w:lineRule="auto"/>
        <w:jc w:val="both"/>
        <w:rPr>
          <w:rFonts w:ascii="Candara" w:hAnsi="Candara" w:cs="Arial"/>
          <w:lang w:val="fr-FR"/>
        </w:rPr>
      </w:pPr>
      <w:r w:rsidRPr="005E4E2B">
        <w:rPr>
          <w:rFonts w:ascii="Candara" w:hAnsi="Candara" w:cs="Arial"/>
          <w:lang w:val="fr-FR"/>
        </w:rPr>
        <w:t>L’aspect le plus important du plan d’échantillonnage à adopter consiste à offrir une image plus fidèle de l’atteinte des objectifs de la CPS et à comprendre le degré du respect du protocole CPS. Les informations recueillies au cours de l’enquête seront cruciales pour améliorer la mise en œuvre de la CPS en aidant à corriger les éventuels écarts de couverture dans les années à venir.</w:t>
      </w:r>
    </w:p>
    <w:p w14:paraId="749DF3C0" w14:textId="77777777" w:rsidR="00476D60" w:rsidRDefault="00476D60" w:rsidP="00476D60">
      <w:pPr>
        <w:spacing w:after="120" w:line="276" w:lineRule="auto"/>
        <w:jc w:val="both"/>
        <w:rPr>
          <w:rFonts w:ascii="Candara" w:hAnsi="Candara" w:cs="Arial"/>
          <w:lang w:val="fr-FR"/>
        </w:rPr>
      </w:pPr>
    </w:p>
    <w:p w14:paraId="6A9D0A1A" w14:textId="77777777" w:rsidR="00476D60" w:rsidRPr="005E4E2B" w:rsidRDefault="00476D60" w:rsidP="00476D60">
      <w:pPr>
        <w:spacing w:after="120" w:line="276" w:lineRule="auto"/>
        <w:jc w:val="both"/>
        <w:rPr>
          <w:rFonts w:ascii="Candara" w:hAnsi="Candara" w:cs="Arial"/>
          <w:lang w:val="fr-FR"/>
        </w:rPr>
      </w:pPr>
      <w:r w:rsidRPr="005E4E2B">
        <w:rPr>
          <w:rFonts w:ascii="Candara" w:hAnsi="Candara" w:cs="Arial"/>
          <w:lang w:val="fr-FR"/>
        </w:rPr>
        <w:t>Les informations suivantes devraient être prises en compte dans la sélection des unités d'échantillonnage.</w:t>
      </w:r>
    </w:p>
    <w:p w14:paraId="2599834E" w14:textId="77777777" w:rsidR="00476D60" w:rsidRPr="005E4E2B" w:rsidRDefault="00476D60" w:rsidP="00476D60">
      <w:pPr>
        <w:spacing w:after="120" w:line="276" w:lineRule="auto"/>
        <w:jc w:val="both"/>
        <w:rPr>
          <w:rFonts w:ascii="Candara" w:hAnsi="Candara" w:cs="Arial"/>
          <w:lang w:val="fr-FR"/>
        </w:rPr>
      </w:pPr>
      <w:r w:rsidRPr="005E4E2B">
        <w:rPr>
          <w:rFonts w:ascii="Candara" w:hAnsi="Candara" w:cs="Arial"/>
          <w:lang w:val="fr-FR"/>
        </w:rPr>
        <w:t>1) L'enquête devrait permettre de générer des résultats à l’échelle des districts de santé.</w:t>
      </w:r>
    </w:p>
    <w:p w14:paraId="0D4F047B" w14:textId="77777777" w:rsidR="00476D60" w:rsidRPr="005E4E2B" w:rsidRDefault="00476D60" w:rsidP="00476D60">
      <w:pPr>
        <w:spacing w:after="120" w:line="276" w:lineRule="auto"/>
        <w:jc w:val="both"/>
        <w:rPr>
          <w:rFonts w:ascii="Candara" w:hAnsi="Candara" w:cs="Arial"/>
          <w:lang w:val="fr-FR"/>
        </w:rPr>
      </w:pPr>
      <w:r w:rsidRPr="005E4E2B">
        <w:rPr>
          <w:rFonts w:ascii="Candara" w:hAnsi="Candara" w:cs="Arial"/>
          <w:lang w:val="fr-FR"/>
        </w:rPr>
        <w:t xml:space="preserve">2) La sélection aléatoire des districts de santé, même en fonction de leur taille, ne peut être envisagée. Au lieu de cela, une sélection raisonnée de districts sanitaires stratifiés selon des caractéristiques géographiques cohérentes devrait être envisagée. À cette fin, une stratification basée sur le milieu (rurale ou urbaine) des districts de santé sera considérée. </w:t>
      </w:r>
    </w:p>
    <w:p w14:paraId="2B6B9E8E" w14:textId="77777777" w:rsidR="00476D60" w:rsidRPr="005E4E2B" w:rsidRDefault="00476D60" w:rsidP="00476D60">
      <w:pPr>
        <w:spacing w:after="120" w:line="276" w:lineRule="auto"/>
        <w:jc w:val="both"/>
        <w:rPr>
          <w:rFonts w:ascii="Candara" w:hAnsi="Candara" w:cs="Arial"/>
          <w:lang w:val="fr-FR"/>
        </w:rPr>
      </w:pPr>
      <w:r w:rsidRPr="005E4E2B">
        <w:rPr>
          <w:rFonts w:ascii="Candara" w:hAnsi="Candara" w:cs="Arial"/>
          <w:lang w:val="fr-FR"/>
        </w:rPr>
        <w:t xml:space="preserve">3) La distribution de médicament CPS a été organisée sur la base de zone de responsabilité des centres de santé (CS). Une stratification basée sur les CS selon la pyramide sanitaire peut être envisagée. Ainsi, en répartissant les unités d'échantillonnage à tous les niveaux de la pyramide sanitaire, les enquêteurs saisiront d'autres facteurs de variabilité importants tels que la nature urbaine / rurale des </w:t>
      </w:r>
      <w:r w:rsidRPr="005E4E2B">
        <w:rPr>
          <w:rFonts w:ascii="Candara" w:hAnsi="Candara" w:cs="Arial"/>
          <w:lang w:val="fr-FR"/>
        </w:rPr>
        <w:lastRenderedPageBreak/>
        <w:t>communautés, le statut socio-économique des bénéficiaires et les « difficultés d’accessibilité » des formations sanitaires. Cependant, l'attribution d'unités d'échantillonnage à tous les niveaux de la pyramide sanitaire générera une mobilisation logistique importante pour un faible gain, car les enquê</w:t>
      </w:r>
      <w:r>
        <w:rPr>
          <w:rFonts w:ascii="Candara" w:hAnsi="Candara" w:cs="Arial"/>
          <w:lang w:val="fr-FR"/>
        </w:rPr>
        <w:t>teurs devront se rendre dans 435</w:t>
      </w:r>
      <w:r w:rsidRPr="005E4E2B">
        <w:rPr>
          <w:rFonts w:ascii="Candara" w:hAnsi="Candara" w:cs="Arial"/>
          <w:lang w:val="fr-FR"/>
        </w:rPr>
        <w:t xml:space="preserve"> centres de santé.</w:t>
      </w:r>
    </w:p>
    <w:p w14:paraId="5AAE6615" w14:textId="77777777" w:rsidR="00476D60" w:rsidRPr="005E4E2B" w:rsidRDefault="00476D60" w:rsidP="00476D60">
      <w:pPr>
        <w:spacing w:after="120" w:line="276" w:lineRule="auto"/>
        <w:jc w:val="both"/>
        <w:rPr>
          <w:rFonts w:ascii="Candara" w:hAnsi="Candara" w:cs="Arial"/>
          <w:lang w:val="fr-FR"/>
        </w:rPr>
      </w:pPr>
      <w:r w:rsidRPr="005E4E2B">
        <w:rPr>
          <w:rFonts w:ascii="Candara" w:hAnsi="Candara" w:cs="Arial"/>
          <w:lang w:val="fr-FR"/>
        </w:rPr>
        <w:t>4) Par ailleurs, bien que la délégation provinciale de la santé (DPS) soit une véritable entité politique, l’intégration de ce niveau de stratification dans le schéma d’échantillonnage proposé risque de ne générer aucun gain statistique.</w:t>
      </w:r>
    </w:p>
    <w:p w14:paraId="6F8F0BD1" w14:textId="77777777" w:rsidR="00476D60" w:rsidRPr="005E4E2B" w:rsidRDefault="00476D60" w:rsidP="00476D60">
      <w:pPr>
        <w:spacing w:after="120" w:line="276" w:lineRule="auto"/>
        <w:jc w:val="both"/>
        <w:rPr>
          <w:rFonts w:ascii="Candara" w:hAnsi="Candara" w:cs="Arial"/>
          <w:lang w:val="fr-FR"/>
        </w:rPr>
      </w:pPr>
      <w:r w:rsidRPr="005E4E2B">
        <w:rPr>
          <w:rFonts w:ascii="Candara" w:hAnsi="Candara" w:cs="Arial"/>
          <w:lang w:val="fr-FR"/>
        </w:rPr>
        <w:t>5) Les CS ont été créés sur une base démographique et leur implantation tient compte de la distance maximale à parcourir qui ne peut excéder 10 km ou 2 heures à pied. Chaque DPS compte entre 4 et 30 CS, selon la taille et la démographie. Le tableau ci-dessous donne un aperçu du nombre de DPS. Une proportion de 30% de tous les CS peut constituer une fraction d'échantillonnage adéquate. Cet échantillon sera subdivisé selon le milieu (rural/urbain) avec les CS ruraux qui représentent 65,16% du total.</w:t>
      </w:r>
    </w:p>
    <w:p w14:paraId="5DC5491C" w14:textId="77777777" w:rsidR="00476D60" w:rsidRPr="005E4E2B" w:rsidRDefault="00476D60" w:rsidP="00476D60">
      <w:pPr>
        <w:spacing w:after="120" w:line="276" w:lineRule="auto"/>
        <w:jc w:val="both"/>
        <w:rPr>
          <w:rFonts w:ascii="Candara" w:hAnsi="Candara" w:cs="Arial"/>
          <w:lang w:val="fr-FR"/>
        </w:rPr>
      </w:pPr>
      <w:r w:rsidRPr="005E4E2B">
        <w:rPr>
          <w:rFonts w:ascii="Candara" w:hAnsi="Candara" w:cs="Arial"/>
          <w:lang w:val="fr-FR"/>
        </w:rPr>
        <w:t>Du fait de caractéristiques particulières de N’Djamena, l’échantillon des concessions/ménages à enquêter sera calculé par exemple indépendamment pour N’Djamena et pour les provinces à l’aide de la formule proposée par l’OMS</w:t>
      </w:r>
      <w:r w:rsidRPr="005E4E2B">
        <w:rPr>
          <w:rFonts w:ascii="Candara" w:hAnsi="Candara" w:cs="Arial"/>
          <w:lang w:val="fr-FR"/>
        </w:rPr>
        <w:footnoteReference w:id="1"/>
      </w:r>
      <w:r w:rsidRPr="005E4E2B">
        <w:rPr>
          <w:rFonts w:ascii="Candara" w:hAnsi="Candara" w:cs="Arial"/>
          <w:lang w:val="fr-FR"/>
        </w:rPr>
        <w:t> :</w:t>
      </w:r>
    </w:p>
    <w:p w14:paraId="74929E7F" w14:textId="77777777" w:rsidR="00476D60" w:rsidRPr="007503A5" w:rsidRDefault="00476D60" w:rsidP="00476D60">
      <w:pPr>
        <w:spacing w:after="120" w:line="276" w:lineRule="auto"/>
        <w:jc w:val="both"/>
        <w:rPr>
          <w:rFonts w:ascii="Garamond" w:hAnsi="Garamond" w:cs="Arial"/>
          <w:color w:val="0D0D0D"/>
          <w:lang w:val="fr-FR"/>
        </w:rPr>
      </w:pPr>
      <w:r w:rsidRPr="007503A5">
        <w:rPr>
          <w:rFonts w:ascii="Garamond" w:hAnsi="Garamond" w:cs="Arial"/>
          <w:noProof/>
          <w:color w:val="0D0D0D"/>
          <w:lang w:val="en-GB" w:eastAsia="en-GB"/>
        </w:rPr>
        <w:drawing>
          <wp:inline distT="0" distB="0" distL="0" distR="0" wp14:anchorId="4DD26C81" wp14:editId="1C9979EA">
            <wp:extent cx="3276600" cy="548640"/>
            <wp:effectExtent l="0" t="0" r="0" b="3810"/>
            <wp:docPr id="4" name="Picture 4" descr="s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548640"/>
                    </a:xfrm>
                    <a:prstGeom prst="rect">
                      <a:avLst/>
                    </a:prstGeom>
                    <a:noFill/>
                    <a:ln>
                      <a:noFill/>
                    </a:ln>
                  </pic:spPr>
                </pic:pic>
              </a:graphicData>
            </a:graphic>
          </wp:inline>
        </w:drawing>
      </w:r>
    </w:p>
    <w:p w14:paraId="37D75A7C" w14:textId="77777777" w:rsidR="00476D60" w:rsidRPr="005E4E2B" w:rsidRDefault="00476D60" w:rsidP="00476D60">
      <w:pPr>
        <w:spacing w:after="120" w:line="276" w:lineRule="auto"/>
        <w:jc w:val="both"/>
        <w:rPr>
          <w:rFonts w:ascii="Candara" w:hAnsi="Candara" w:cs="Arial"/>
          <w:lang w:val="fr-FR"/>
        </w:rPr>
      </w:pPr>
      <w:r w:rsidRPr="005E4E2B">
        <w:rPr>
          <w:rFonts w:ascii="Candara" w:hAnsi="Candara" w:cs="Arial"/>
          <w:lang w:val="fr-FR"/>
        </w:rPr>
        <w:t xml:space="preserve">Avec </w:t>
      </w:r>
      <w:r w:rsidRPr="005E4E2B">
        <w:rPr>
          <w:rFonts w:ascii="Candara" w:hAnsi="Candara" w:cs="Arial"/>
          <w:noProof/>
          <w:lang w:val="en-GB" w:eastAsia="en-GB"/>
        </w:rPr>
        <w:drawing>
          <wp:inline distT="0" distB="0" distL="0" distR="0" wp14:anchorId="46E6D2CF" wp14:editId="20323002">
            <wp:extent cx="1531620" cy="236220"/>
            <wp:effectExtent l="0" t="0" r="0" b="0"/>
            <wp:docPr id="3" name="Picture 3" descr="s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2"/>
                    <pic:cNvPicPr>
                      <a:picLocks noChangeAspect="1" noChangeArrowheads="1"/>
                    </pic:cNvPicPr>
                  </pic:nvPicPr>
                  <pic:blipFill rotWithShape="1">
                    <a:blip r:embed="rId13">
                      <a:extLst>
                        <a:ext uri="{28A0092B-C50C-407E-A947-70E740481C1C}">
                          <a14:useLocalDpi xmlns:a14="http://schemas.microsoft.com/office/drawing/2010/main" val="0"/>
                        </a:ext>
                      </a:extLst>
                    </a:blip>
                    <a:srcRect t="13889"/>
                    <a:stretch/>
                  </pic:blipFill>
                  <pic:spPr bwMode="auto">
                    <a:xfrm>
                      <a:off x="0" y="0"/>
                      <a:ext cx="1531620" cy="236220"/>
                    </a:xfrm>
                    <a:prstGeom prst="rect">
                      <a:avLst/>
                    </a:prstGeom>
                    <a:noFill/>
                    <a:ln>
                      <a:noFill/>
                    </a:ln>
                    <a:extLst>
                      <a:ext uri="{53640926-AAD7-44D8-BBD7-CCE9431645EC}">
                        <a14:shadowObscured xmlns:a14="http://schemas.microsoft.com/office/drawing/2010/main"/>
                      </a:ext>
                    </a:extLst>
                  </pic:spPr>
                </pic:pic>
              </a:graphicData>
            </a:graphic>
          </wp:inline>
        </w:drawing>
      </w:r>
    </w:p>
    <w:p w14:paraId="5BB713B2" w14:textId="77777777" w:rsidR="00476D60" w:rsidRDefault="00476D60" w:rsidP="00476D60">
      <w:pPr>
        <w:spacing w:line="276" w:lineRule="auto"/>
        <w:jc w:val="both"/>
        <w:rPr>
          <w:rFonts w:ascii="Candara" w:hAnsi="Candara" w:cs="Arial"/>
          <w:lang w:val="fr-FR"/>
        </w:rPr>
      </w:pPr>
    </w:p>
    <w:p w14:paraId="197B8CE7" w14:textId="77777777" w:rsidR="00476D60" w:rsidRPr="005E4E2B" w:rsidRDefault="00476D60" w:rsidP="00476D60">
      <w:pPr>
        <w:spacing w:line="276" w:lineRule="auto"/>
        <w:jc w:val="both"/>
        <w:rPr>
          <w:rFonts w:ascii="Candara" w:hAnsi="Candara" w:cs="Arial"/>
          <w:lang w:val="fr-FR"/>
        </w:rPr>
      </w:pPr>
      <w:r w:rsidRPr="005E4E2B">
        <w:rPr>
          <w:rFonts w:ascii="Candara" w:hAnsi="Candara" w:cs="Arial"/>
          <w:lang w:val="fr-FR"/>
        </w:rPr>
        <w:t xml:space="preserve">Cet échantillon est ensuite corrigé par le facteur de stratification deff = </w:t>
      </w:r>
      <m:oMath>
        <m:r>
          <m:rPr>
            <m:sty m:val="p"/>
          </m:rPr>
          <w:rPr>
            <w:rFonts w:ascii="Cambria Math" w:hAnsi="Cambria Math" w:cs="Arial"/>
            <w:lang w:val="fr-FR"/>
          </w:rPr>
          <m:t>1+</m:t>
        </m:r>
        <m:r>
          <w:rPr>
            <w:rFonts w:ascii="Cambria Math" w:hAnsi="Cambria Math" w:cs="Arial"/>
            <w:lang w:val="fr-FR"/>
          </w:rPr>
          <m:t>icc</m:t>
        </m:r>
        <m:r>
          <m:rPr>
            <m:sty m:val="p"/>
          </m:rPr>
          <w:rPr>
            <w:rFonts w:ascii="Cambria Math" w:hAnsi="Cambria Math" w:cs="Arial"/>
            <w:lang w:val="fr-FR"/>
          </w:rPr>
          <m:t xml:space="preserve"> (</m:t>
        </m:r>
        <m:r>
          <w:rPr>
            <w:rFonts w:ascii="Cambria Math" w:hAnsi="Cambria Math" w:cs="Arial"/>
            <w:lang w:val="fr-FR"/>
          </w:rPr>
          <m:t>m</m:t>
        </m:r>
        <m:r>
          <m:rPr>
            <m:sty m:val="p"/>
          </m:rPr>
          <w:rPr>
            <w:rFonts w:ascii="Cambria Math" w:hAnsi="Cambria Math" w:cs="Arial"/>
            <w:lang w:val="fr-FR"/>
          </w:rPr>
          <m:t>-1)</m:t>
        </m:r>
      </m:oMath>
    </w:p>
    <w:p w14:paraId="33D92959" w14:textId="77777777" w:rsidR="00476D60" w:rsidRPr="005E4E2B" w:rsidRDefault="00476D60" w:rsidP="00476D60">
      <w:pPr>
        <w:spacing w:after="120" w:line="276" w:lineRule="auto"/>
        <w:jc w:val="both"/>
        <w:rPr>
          <w:rFonts w:ascii="Candara" w:hAnsi="Candara" w:cs="Arial"/>
          <w:lang w:val="fr-FR"/>
        </w:rPr>
      </w:pPr>
      <w:r w:rsidRPr="005E4E2B">
        <w:rPr>
          <w:rFonts w:ascii="Candara" w:hAnsi="Candara" w:cs="Arial"/>
          <w:lang w:val="fr-FR"/>
        </w:rPr>
        <w:t>Où p est le taux de couverture estimé (80% à Ndjamena et 85% en province)</w:t>
      </w:r>
      <w:r w:rsidRPr="005E4E2B">
        <w:rPr>
          <w:rFonts w:ascii="Candara" w:hAnsi="Candara" w:cs="Arial"/>
          <w:lang w:val="fr-FR"/>
        </w:rPr>
        <w:footnoteReference w:id="2"/>
      </w:r>
      <w:r w:rsidRPr="005E4E2B">
        <w:rPr>
          <w:rFonts w:ascii="Candara" w:hAnsi="Candara" w:cs="Arial"/>
          <w:lang w:val="fr-FR"/>
        </w:rPr>
        <w:t> ;</w:t>
      </w:r>
    </w:p>
    <w:p w14:paraId="2D141459" w14:textId="77777777" w:rsidR="00476D60" w:rsidRPr="005E4E2B" w:rsidRDefault="00476D60" w:rsidP="00476D60">
      <w:pPr>
        <w:spacing w:after="120" w:line="276" w:lineRule="auto"/>
        <w:jc w:val="both"/>
        <w:rPr>
          <w:rFonts w:ascii="Candara" w:hAnsi="Candara" w:cs="Arial"/>
          <w:lang w:val="fr-FR"/>
        </w:rPr>
      </w:pPr>
      <w:proofErr w:type="gramStart"/>
      <w:r w:rsidRPr="005E4E2B">
        <w:rPr>
          <w:rFonts w:ascii="Candara" w:hAnsi="Candara" w:cs="Arial"/>
          <w:lang w:val="fr-FR"/>
        </w:rPr>
        <w:t>d</w:t>
      </w:r>
      <w:proofErr w:type="gramEnd"/>
      <w:r w:rsidRPr="005E4E2B">
        <w:rPr>
          <w:rFonts w:ascii="Candara" w:hAnsi="Candara" w:cs="Arial"/>
          <w:lang w:val="fr-FR"/>
        </w:rPr>
        <w:t xml:space="preserve"> est la marge d’erreur (3%) ;</w:t>
      </w:r>
    </w:p>
    <w:p w14:paraId="765D6C13" w14:textId="77777777" w:rsidR="00476D60" w:rsidRPr="005E4E2B" w:rsidRDefault="00476D60" w:rsidP="00476D60">
      <w:pPr>
        <w:spacing w:after="120" w:line="276" w:lineRule="auto"/>
        <w:jc w:val="both"/>
        <w:rPr>
          <w:rFonts w:ascii="Candara" w:hAnsi="Candara" w:cs="Arial"/>
          <w:lang w:val="fr-FR"/>
        </w:rPr>
      </w:pPr>
      <w:proofErr w:type="gramStart"/>
      <w:r w:rsidRPr="005E4E2B">
        <w:rPr>
          <w:rFonts w:ascii="Candara" w:hAnsi="Candara" w:cs="Arial"/>
          <w:lang w:val="fr-FR"/>
        </w:rPr>
        <w:t>m</w:t>
      </w:r>
      <w:proofErr w:type="gramEnd"/>
      <w:r w:rsidRPr="005E4E2B">
        <w:rPr>
          <w:rFonts w:ascii="Candara" w:hAnsi="Candara" w:cs="Arial"/>
          <w:lang w:val="fr-FR"/>
        </w:rPr>
        <w:t xml:space="preserve"> le nombre de cluster (recommandé 10) ;</w:t>
      </w:r>
    </w:p>
    <w:p w14:paraId="79081B9F" w14:textId="77777777" w:rsidR="00476D60" w:rsidRPr="005E4E2B" w:rsidRDefault="00476D60" w:rsidP="00476D60">
      <w:pPr>
        <w:spacing w:after="120" w:line="276" w:lineRule="auto"/>
        <w:jc w:val="both"/>
        <w:rPr>
          <w:rFonts w:ascii="Candara" w:hAnsi="Candara" w:cs="Arial"/>
          <w:lang w:val="fr-FR"/>
        </w:rPr>
      </w:pPr>
      <w:proofErr w:type="spellStart"/>
      <w:proofErr w:type="gramStart"/>
      <w:r w:rsidRPr="005E4E2B">
        <w:rPr>
          <w:rFonts w:ascii="Candara" w:hAnsi="Candara" w:cs="Arial"/>
          <w:lang w:val="fr-FR"/>
        </w:rPr>
        <w:t>icc</w:t>
      </w:r>
      <w:proofErr w:type="spellEnd"/>
      <w:proofErr w:type="gramEnd"/>
      <w:r w:rsidRPr="005E4E2B">
        <w:rPr>
          <w:rFonts w:ascii="Candara" w:hAnsi="Candara" w:cs="Arial"/>
          <w:lang w:val="fr-FR"/>
        </w:rPr>
        <w:t xml:space="preserve"> est la corrélation </w:t>
      </w:r>
      <w:proofErr w:type="spellStart"/>
      <w:r w:rsidRPr="005E4E2B">
        <w:rPr>
          <w:rFonts w:ascii="Candara" w:hAnsi="Candara" w:cs="Arial"/>
          <w:lang w:val="fr-FR"/>
        </w:rPr>
        <w:t>intercluster</w:t>
      </w:r>
      <w:proofErr w:type="spellEnd"/>
      <w:r w:rsidRPr="005E4E2B">
        <w:rPr>
          <w:rFonts w:ascii="Candara" w:hAnsi="Candara" w:cs="Arial"/>
          <w:lang w:val="fr-FR"/>
        </w:rPr>
        <w:t xml:space="preserve"> (compris entre 1/24 et 1/6) ;</w:t>
      </w:r>
    </w:p>
    <w:p w14:paraId="47189361" w14:textId="77777777" w:rsidR="00476D60" w:rsidRPr="005E4E2B" w:rsidRDefault="00476D60" w:rsidP="00476D60">
      <w:pPr>
        <w:spacing w:after="120" w:line="276" w:lineRule="auto"/>
        <w:jc w:val="both"/>
        <w:rPr>
          <w:rFonts w:ascii="Candara" w:hAnsi="Candara" w:cs="Arial"/>
          <w:lang w:val="fr-FR"/>
        </w:rPr>
      </w:pPr>
      <w:r w:rsidRPr="005E4E2B">
        <w:rPr>
          <w:rFonts w:ascii="Candara" w:hAnsi="Candara" w:cs="Arial"/>
          <w:lang w:val="fr-FR"/>
        </w:rPr>
        <w:t>Ainsi, nous obtenons au total un échantillon de 3985 concessions (</w:t>
      </w:r>
      <w:r>
        <w:rPr>
          <w:rFonts w:ascii="Candara" w:hAnsi="Candara" w:cs="Arial"/>
          <w:b/>
          <w:lang w:val="fr-FR"/>
        </w:rPr>
        <w:t>1178</w:t>
      </w:r>
      <w:r>
        <w:rPr>
          <w:rFonts w:ascii="Candara" w:hAnsi="Candara" w:cs="Arial"/>
          <w:lang w:val="fr-FR"/>
        </w:rPr>
        <w:t xml:space="preserve"> concessions à N’Djamena et </w:t>
      </w:r>
      <w:r w:rsidRPr="00DE532F">
        <w:rPr>
          <w:rFonts w:ascii="Candara" w:hAnsi="Candara" w:cs="Arial"/>
          <w:b/>
          <w:lang w:val="fr-FR"/>
        </w:rPr>
        <w:t>2743</w:t>
      </w:r>
      <w:r w:rsidRPr="005E4E2B">
        <w:rPr>
          <w:rFonts w:ascii="Candara" w:hAnsi="Candara" w:cs="Arial"/>
          <w:lang w:val="fr-FR"/>
        </w:rPr>
        <w:t xml:space="preserve"> en province). Le tableau suivant présente la répartition de l’échantillon par province :</w:t>
      </w:r>
    </w:p>
    <w:p w14:paraId="14DACA61" w14:textId="34F6E639" w:rsidR="00476D60" w:rsidRDefault="00476D60" w:rsidP="00476D60">
      <w:pPr>
        <w:spacing w:after="120"/>
        <w:jc w:val="both"/>
        <w:rPr>
          <w:rFonts w:ascii="Arial" w:hAnsi="Arial" w:cs="Arial"/>
          <w:lang w:val="fr-FR"/>
        </w:rPr>
      </w:pPr>
    </w:p>
    <w:p w14:paraId="7EEAE535" w14:textId="77777777" w:rsidR="000271F3" w:rsidRPr="00B63564" w:rsidRDefault="000271F3" w:rsidP="00476D60">
      <w:pPr>
        <w:spacing w:after="120"/>
        <w:jc w:val="both"/>
        <w:rPr>
          <w:rFonts w:ascii="Arial" w:hAnsi="Arial" w:cs="Arial"/>
          <w:lang w:val="fr-FR"/>
        </w:rPr>
      </w:pPr>
    </w:p>
    <w:tbl>
      <w:tblPr>
        <w:tblW w:w="10284" w:type="dxa"/>
        <w:tblInd w:w="-436" w:type="dxa"/>
        <w:tblLook w:val="04A0" w:firstRow="1" w:lastRow="0" w:firstColumn="1" w:lastColumn="0" w:noHBand="0" w:noVBand="1"/>
      </w:tblPr>
      <w:tblGrid>
        <w:gridCol w:w="2836"/>
        <w:gridCol w:w="1276"/>
        <w:gridCol w:w="992"/>
        <w:gridCol w:w="1276"/>
        <w:gridCol w:w="850"/>
        <w:gridCol w:w="993"/>
        <w:gridCol w:w="1081"/>
        <w:gridCol w:w="980"/>
      </w:tblGrid>
      <w:tr w:rsidR="00476D60" w:rsidRPr="00BF1898" w14:paraId="0CD2B2D4" w14:textId="77777777" w:rsidTr="00F83B44">
        <w:trPr>
          <w:trHeight w:val="516"/>
        </w:trPr>
        <w:tc>
          <w:tcPr>
            <w:tcW w:w="2836" w:type="dxa"/>
            <w:tcBorders>
              <w:top w:val="single" w:sz="8" w:space="0" w:color="5B9BD5"/>
              <w:left w:val="single" w:sz="8" w:space="0" w:color="5B9BD5"/>
              <w:bottom w:val="single" w:sz="8" w:space="0" w:color="5B9BD5"/>
              <w:right w:val="nil"/>
            </w:tcBorders>
            <w:shd w:val="clear" w:color="000000" w:fill="5B9BD5"/>
            <w:vAlign w:val="center"/>
            <w:hideMark/>
          </w:tcPr>
          <w:p w14:paraId="2892B26C" w14:textId="77777777" w:rsidR="00476D60" w:rsidRPr="00BF1898" w:rsidRDefault="00476D60" w:rsidP="00F83B44">
            <w:pPr>
              <w:rPr>
                <w:rFonts w:cs="Courier New"/>
                <w:b/>
                <w:bCs/>
                <w:sz w:val="18"/>
                <w:szCs w:val="18"/>
                <w:lang w:val="en-GB" w:eastAsia="en-GB"/>
              </w:rPr>
            </w:pPr>
            <w:r w:rsidRPr="00BF1898">
              <w:rPr>
                <w:rFonts w:cs="Arial"/>
                <w:b/>
                <w:bCs/>
                <w:sz w:val="18"/>
                <w:szCs w:val="18"/>
                <w:lang w:val="fr-FR" w:eastAsia="en-GB"/>
              </w:rPr>
              <w:lastRenderedPageBreak/>
              <w:t>Calcul d’échantillon</w:t>
            </w:r>
          </w:p>
        </w:tc>
        <w:tc>
          <w:tcPr>
            <w:tcW w:w="1276" w:type="dxa"/>
            <w:tcBorders>
              <w:top w:val="single" w:sz="8" w:space="0" w:color="5B9BD5"/>
              <w:left w:val="nil"/>
              <w:bottom w:val="single" w:sz="8" w:space="0" w:color="5B9BD5"/>
              <w:right w:val="nil"/>
            </w:tcBorders>
            <w:shd w:val="clear" w:color="000000" w:fill="5B9BD5"/>
            <w:vAlign w:val="center"/>
            <w:hideMark/>
          </w:tcPr>
          <w:p w14:paraId="1ED3A224" w14:textId="77777777" w:rsidR="00476D60" w:rsidRPr="00BF1898" w:rsidRDefault="00476D60" w:rsidP="00F83B44">
            <w:pPr>
              <w:rPr>
                <w:rFonts w:cs="Courier New"/>
                <w:b/>
                <w:bCs/>
                <w:sz w:val="18"/>
                <w:szCs w:val="18"/>
                <w:lang w:val="en-GB" w:eastAsia="en-GB"/>
              </w:rPr>
            </w:pPr>
            <w:r w:rsidRPr="00BF1898">
              <w:rPr>
                <w:rFonts w:cs="Arial"/>
                <w:b/>
                <w:bCs/>
                <w:sz w:val="18"/>
                <w:szCs w:val="18"/>
                <w:lang w:val="fr-FR" w:eastAsia="en-GB"/>
              </w:rPr>
              <w:t>Chari Baguirmi</w:t>
            </w:r>
          </w:p>
        </w:tc>
        <w:tc>
          <w:tcPr>
            <w:tcW w:w="992" w:type="dxa"/>
            <w:tcBorders>
              <w:top w:val="single" w:sz="8" w:space="0" w:color="5B9BD5"/>
              <w:left w:val="nil"/>
              <w:bottom w:val="single" w:sz="8" w:space="0" w:color="5B9BD5"/>
              <w:right w:val="nil"/>
            </w:tcBorders>
            <w:shd w:val="clear" w:color="000000" w:fill="5B9BD5"/>
            <w:vAlign w:val="center"/>
            <w:hideMark/>
          </w:tcPr>
          <w:p w14:paraId="38000ECD" w14:textId="77777777" w:rsidR="00476D60" w:rsidRPr="00BF1898" w:rsidRDefault="00476D60" w:rsidP="00F83B44">
            <w:pPr>
              <w:rPr>
                <w:rFonts w:cs="Courier New"/>
                <w:b/>
                <w:bCs/>
                <w:sz w:val="18"/>
                <w:szCs w:val="18"/>
                <w:lang w:val="en-GB" w:eastAsia="en-GB"/>
              </w:rPr>
            </w:pPr>
            <w:proofErr w:type="spellStart"/>
            <w:r w:rsidRPr="00BF1898">
              <w:rPr>
                <w:rFonts w:cs="Arial"/>
                <w:b/>
                <w:bCs/>
                <w:sz w:val="18"/>
                <w:szCs w:val="18"/>
                <w:lang w:val="fr-FR" w:eastAsia="en-GB"/>
              </w:rPr>
              <w:t>Hadjer</w:t>
            </w:r>
            <w:proofErr w:type="spellEnd"/>
            <w:r w:rsidRPr="00BF1898">
              <w:rPr>
                <w:rFonts w:cs="Arial"/>
                <w:b/>
                <w:bCs/>
                <w:sz w:val="18"/>
                <w:szCs w:val="18"/>
                <w:lang w:val="fr-FR" w:eastAsia="en-GB"/>
              </w:rPr>
              <w:t xml:space="preserve"> </w:t>
            </w:r>
            <w:proofErr w:type="spellStart"/>
            <w:r w:rsidRPr="00BF1898">
              <w:rPr>
                <w:rFonts w:cs="Arial"/>
                <w:b/>
                <w:bCs/>
                <w:sz w:val="18"/>
                <w:szCs w:val="18"/>
                <w:lang w:val="fr-FR" w:eastAsia="en-GB"/>
              </w:rPr>
              <w:t>Lamis</w:t>
            </w:r>
            <w:proofErr w:type="spellEnd"/>
          </w:p>
        </w:tc>
        <w:tc>
          <w:tcPr>
            <w:tcW w:w="1276" w:type="dxa"/>
            <w:tcBorders>
              <w:top w:val="single" w:sz="8" w:space="0" w:color="5B9BD5"/>
              <w:left w:val="nil"/>
              <w:bottom w:val="single" w:sz="8" w:space="0" w:color="5B9BD5"/>
              <w:right w:val="nil"/>
            </w:tcBorders>
            <w:shd w:val="clear" w:color="000000" w:fill="5B9BD5"/>
            <w:vAlign w:val="center"/>
            <w:hideMark/>
          </w:tcPr>
          <w:p w14:paraId="7544B280" w14:textId="77777777" w:rsidR="00476D60" w:rsidRPr="00BF1898" w:rsidRDefault="00476D60" w:rsidP="00F83B44">
            <w:pPr>
              <w:rPr>
                <w:rFonts w:cs="Courier New"/>
                <w:b/>
                <w:bCs/>
                <w:sz w:val="18"/>
                <w:szCs w:val="18"/>
                <w:lang w:val="en-GB" w:eastAsia="en-GB"/>
              </w:rPr>
            </w:pPr>
            <w:r w:rsidRPr="00BF1898">
              <w:rPr>
                <w:rFonts w:cs="Arial"/>
                <w:b/>
                <w:bCs/>
                <w:sz w:val="18"/>
                <w:szCs w:val="18"/>
                <w:lang w:val="fr-FR" w:eastAsia="en-GB"/>
              </w:rPr>
              <w:t xml:space="preserve">Mayo </w:t>
            </w:r>
            <w:proofErr w:type="spellStart"/>
            <w:r w:rsidRPr="00BF1898">
              <w:rPr>
                <w:rFonts w:cs="Arial"/>
                <w:b/>
                <w:bCs/>
                <w:sz w:val="18"/>
                <w:szCs w:val="18"/>
                <w:lang w:val="fr-FR" w:eastAsia="en-GB"/>
              </w:rPr>
              <w:t>Kebbi</w:t>
            </w:r>
            <w:proofErr w:type="spellEnd"/>
            <w:r w:rsidRPr="00BF1898">
              <w:rPr>
                <w:rFonts w:cs="Arial"/>
                <w:b/>
                <w:bCs/>
                <w:sz w:val="18"/>
                <w:szCs w:val="18"/>
                <w:lang w:val="fr-FR" w:eastAsia="en-GB"/>
              </w:rPr>
              <w:t xml:space="preserve"> Est</w:t>
            </w:r>
          </w:p>
        </w:tc>
        <w:tc>
          <w:tcPr>
            <w:tcW w:w="850" w:type="dxa"/>
            <w:tcBorders>
              <w:top w:val="single" w:sz="8" w:space="0" w:color="5B9BD5"/>
              <w:left w:val="nil"/>
              <w:bottom w:val="single" w:sz="8" w:space="0" w:color="5B9BD5"/>
              <w:right w:val="nil"/>
            </w:tcBorders>
            <w:shd w:val="clear" w:color="000000" w:fill="5B9BD5"/>
            <w:vAlign w:val="center"/>
            <w:hideMark/>
          </w:tcPr>
          <w:p w14:paraId="6780C525" w14:textId="77777777" w:rsidR="00476D60" w:rsidRPr="00BF1898" w:rsidRDefault="00476D60" w:rsidP="00F83B44">
            <w:pPr>
              <w:rPr>
                <w:rFonts w:cs="Courier New"/>
                <w:b/>
                <w:bCs/>
                <w:sz w:val="18"/>
                <w:szCs w:val="18"/>
                <w:lang w:val="en-GB" w:eastAsia="en-GB"/>
              </w:rPr>
            </w:pPr>
            <w:proofErr w:type="spellStart"/>
            <w:r w:rsidRPr="00BF1898">
              <w:rPr>
                <w:rFonts w:cs="Arial"/>
                <w:b/>
                <w:bCs/>
                <w:sz w:val="18"/>
                <w:szCs w:val="18"/>
                <w:lang w:val="fr-FR" w:eastAsia="en-GB"/>
              </w:rPr>
              <w:t>Batha</w:t>
            </w:r>
            <w:proofErr w:type="spellEnd"/>
          </w:p>
        </w:tc>
        <w:tc>
          <w:tcPr>
            <w:tcW w:w="993" w:type="dxa"/>
            <w:tcBorders>
              <w:top w:val="single" w:sz="8" w:space="0" w:color="5B9BD5"/>
              <w:left w:val="nil"/>
              <w:bottom w:val="single" w:sz="8" w:space="0" w:color="5B9BD5"/>
              <w:right w:val="nil"/>
            </w:tcBorders>
            <w:shd w:val="clear" w:color="000000" w:fill="5B9BD5"/>
            <w:vAlign w:val="center"/>
            <w:hideMark/>
          </w:tcPr>
          <w:p w14:paraId="521804F7" w14:textId="77777777" w:rsidR="00476D60" w:rsidRPr="00BF1898" w:rsidRDefault="00476D60" w:rsidP="00F83B44">
            <w:pPr>
              <w:rPr>
                <w:rFonts w:cs="Courier New"/>
                <w:b/>
                <w:bCs/>
                <w:sz w:val="18"/>
                <w:szCs w:val="18"/>
                <w:lang w:val="en-GB" w:eastAsia="en-GB"/>
              </w:rPr>
            </w:pPr>
            <w:proofErr w:type="spellStart"/>
            <w:r w:rsidRPr="00BF1898">
              <w:rPr>
                <w:rFonts w:cs="Arial"/>
                <w:b/>
                <w:bCs/>
                <w:sz w:val="18"/>
                <w:szCs w:val="18"/>
                <w:lang w:val="fr-FR" w:eastAsia="en-GB"/>
              </w:rPr>
              <w:t>Barh</w:t>
            </w:r>
            <w:proofErr w:type="spellEnd"/>
            <w:r w:rsidRPr="00BF1898">
              <w:rPr>
                <w:rFonts w:cs="Arial"/>
                <w:b/>
                <w:bCs/>
                <w:sz w:val="18"/>
                <w:szCs w:val="18"/>
                <w:lang w:val="fr-FR" w:eastAsia="en-GB"/>
              </w:rPr>
              <w:t xml:space="preserve"> el Gazal</w:t>
            </w:r>
          </w:p>
        </w:tc>
        <w:tc>
          <w:tcPr>
            <w:tcW w:w="1081" w:type="dxa"/>
            <w:tcBorders>
              <w:top w:val="single" w:sz="8" w:space="0" w:color="5B9BD5"/>
              <w:left w:val="nil"/>
              <w:bottom w:val="single" w:sz="8" w:space="0" w:color="5B9BD5"/>
              <w:right w:val="nil"/>
            </w:tcBorders>
            <w:shd w:val="clear" w:color="000000" w:fill="5B9BD5"/>
            <w:vAlign w:val="center"/>
            <w:hideMark/>
          </w:tcPr>
          <w:p w14:paraId="7E83607A" w14:textId="77777777" w:rsidR="00476D60" w:rsidRPr="00BF1898" w:rsidRDefault="00476D60" w:rsidP="00F83B44">
            <w:pPr>
              <w:rPr>
                <w:rFonts w:cs="Courier New"/>
                <w:b/>
                <w:bCs/>
                <w:sz w:val="18"/>
                <w:szCs w:val="18"/>
                <w:lang w:val="en-GB" w:eastAsia="en-GB"/>
              </w:rPr>
            </w:pPr>
            <w:proofErr w:type="spellStart"/>
            <w:r w:rsidRPr="00BF1898">
              <w:rPr>
                <w:rFonts w:cs="Arial"/>
                <w:b/>
                <w:bCs/>
                <w:sz w:val="18"/>
                <w:szCs w:val="18"/>
                <w:lang w:val="fr-FR" w:eastAsia="en-GB"/>
              </w:rPr>
              <w:t>NDjamena</w:t>
            </w:r>
            <w:proofErr w:type="spellEnd"/>
          </w:p>
        </w:tc>
        <w:tc>
          <w:tcPr>
            <w:tcW w:w="980" w:type="dxa"/>
            <w:tcBorders>
              <w:top w:val="single" w:sz="8" w:space="0" w:color="5B9BD5"/>
              <w:left w:val="nil"/>
              <w:bottom w:val="single" w:sz="8" w:space="0" w:color="5B9BD5"/>
              <w:right w:val="single" w:sz="8" w:space="0" w:color="5B9BD5"/>
            </w:tcBorders>
            <w:shd w:val="clear" w:color="000000" w:fill="5B9BD5"/>
            <w:vAlign w:val="center"/>
            <w:hideMark/>
          </w:tcPr>
          <w:p w14:paraId="111925FA" w14:textId="77777777" w:rsidR="00476D60" w:rsidRPr="00BF1898" w:rsidRDefault="00476D60" w:rsidP="00F83B44">
            <w:pPr>
              <w:rPr>
                <w:rFonts w:cs="Courier New"/>
                <w:b/>
                <w:bCs/>
                <w:sz w:val="18"/>
                <w:szCs w:val="18"/>
                <w:lang w:val="en-GB" w:eastAsia="en-GB"/>
              </w:rPr>
            </w:pPr>
            <w:r w:rsidRPr="00BF1898">
              <w:rPr>
                <w:rFonts w:cs="Arial"/>
                <w:b/>
                <w:bCs/>
                <w:sz w:val="18"/>
                <w:szCs w:val="18"/>
                <w:lang w:val="fr-FR" w:eastAsia="en-GB"/>
              </w:rPr>
              <w:t>Total</w:t>
            </w:r>
          </w:p>
        </w:tc>
      </w:tr>
      <w:tr w:rsidR="00476D60" w:rsidRPr="00BF1898" w14:paraId="1AD29BE1" w14:textId="77777777" w:rsidTr="00F83B44">
        <w:trPr>
          <w:trHeight w:val="721"/>
        </w:trPr>
        <w:tc>
          <w:tcPr>
            <w:tcW w:w="2836" w:type="dxa"/>
            <w:tcBorders>
              <w:top w:val="nil"/>
              <w:left w:val="single" w:sz="8" w:space="0" w:color="9CC2E5"/>
              <w:bottom w:val="single" w:sz="8" w:space="0" w:color="9CC2E5"/>
              <w:right w:val="single" w:sz="8" w:space="0" w:color="9CC2E5"/>
            </w:tcBorders>
            <w:shd w:val="clear" w:color="000000" w:fill="DEEAF6"/>
            <w:vAlign w:val="center"/>
            <w:hideMark/>
          </w:tcPr>
          <w:p w14:paraId="0A231BAD" w14:textId="77777777" w:rsidR="00476D60" w:rsidRPr="00BF1898" w:rsidRDefault="00476D60" w:rsidP="00F83B44">
            <w:pPr>
              <w:rPr>
                <w:rFonts w:cs="Courier New"/>
                <w:sz w:val="18"/>
                <w:szCs w:val="18"/>
                <w:lang w:val="fr-FR" w:eastAsia="en-GB"/>
              </w:rPr>
            </w:pPr>
            <w:r w:rsidRPr="00BF1898">
              <w:rPr>
                <w:rFonts w:cs="Courier New"/>
                <w:sz w:val="18"/>
                <w:szCs w:val="18"/>
                <w:lang w:val="fr-FR" w:eastAsia="en-GB"/>
              </w:rPr>
              <w:t>Districts sanitaires couverts par le programme</w:t>
            </w:r>
          </w:p>
        </w:tc>
        <w:tc>
          <w:tcPr>
            <w:tcW w:w="1276" w:type="dxa"/>
            <w:tcBorders>
              <w:top w:val="nil"/>
              <w:left w:val="nil"/>
              <w:bottom w:val="single" w:sz="8" w:space="0" w:color="9CC2E5"/>
              <w:right w:val="single" w:sz="8" w:space="0" w:color="9CC2E5"/>
            </w:tcBorders>
            <w:shd w:val="clear" w:color="000000" w:fill="DEEAF6"/>
            <w:vAlign w:val="center"/>
            <w:hideMark/>
          </w:tcPr>
          <w:p w14:paraId="7FE97936"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6</w:t>
            </w:r>
          </w:p>
        </w:tc>
        <w:tc>
          <w:tcPr>
            <w:tcW w:w="992" w:type="dxa"/>
            <w:tcBorders>
              <w:top w:val="nil"/>
              <w:left w:val="nil"/>
              <w:bottom w:val="single" w:sz="8" w:space="0" w:color="9CC2E5"/>
              <w:right w:val="single" w:sz="8" w:space="0" w:color="9CC2E5"/>
            </w:tcBorders>
            <w:shd w:val="clear" w:color="000000" w:fill="DEEAF6"/>
            <w:vAlign w:val="center"/>
            <w:hideMark/>
          </w:tcPr>
          <w:p w14:paraId="3ADC03C1"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6</w:t>
            </w:r>
          </w:p>
        </w:tc>
        <w:tc>
          <w:tcPr>
            <w:tcW w:w="1276" w:type="dxa"/>
            <w:tcBorders>
              <w:top w:val="nil"/>
              <w:left w:val="nil"/>
              <w:bottom w:val="single" w:sz="8" w:space="0" w:color="9CC2E5"/>
              <w:right w:val="single" w:sz="8" w:space="0" w:color="9CC2E5"/>
            </w:tcBorders>
            <w:shd w:val="clear" w:color="000000" w:fill="DEEAF6"/>
            <w:vAlign w:val="center"/>
            <w:hideMark/>
          </w:tcPr>
          <w:p w14:paraId="2588D5C3"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5</w:t>
            </w:r>
          </w:p>
        </w:tc>
        <w:tc>
          <w:tcPr>
            <w:tcW w:w="850" w:type="dxa"/>
            <w:tcBorders>
              <w:top w:val="nil"/>
              <w:left w:val="nil"/>
              <w:bottom w:val="single" w:sz="8" w:space="0" w:color="9CC2E5"/>
              <w:right w:val="single" w:sz="8" w:space="0" w:color="9CC2E5"/>
            </w:tcBorders>
            <w:shd w:val="clear" w:color="000000" w:fill="DEEAF6"/>
            <w:vAlign w:val="center"/>
            <w:hideMark/>
          </w:tcPr>
          <w:p w14:paraId="0D7D5ABB"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1</w:t>
            </w:r>
          </w:p>
        </w:tc>
        <w:tc>
          <w:tcPr>
            <w:tcW w:w="993" w:type="dxa"/>
            <w:tcBorders>
              <w:top w:val="nil"/>
              <w:left w:val="nil"/>
              <w:bottom w:val="single" w:sz="8" w:space="0" w:color="9CC2E5"/>
              <w:right w:val="single" w:sz="8" w:space="0" w:color="9CC2E5"/>
            </w:tcBorders>
            <w:shd w:val="clear" w:color="000000" w:fill="DEEAF6"/>
            <w:vAlign w:val="center"/>
            <w:hideMark/>
          </w:tcPr>
          <w:p w14:paraId="1D0E76F3"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4</w:t>
            </w:r>
          </w:p>
        </w:tc>
        <w:tc>
          <w:tcPr>
            <w:tcW w:w="1081" w:type="dxa"/>
            <w:tcBorders>
              <w:top w:val="nil"/>
              <w:left w:val="nil"/>
              <w:bottom w:val="single" w:sz="8" w:space="0" w:color="9CC2E5"/>
              <w:right w:val="single" w:sz="8" w:space="0" w:color="9CC2E5"/>
            </w:tcBorders>
            <w:shd w:val="clear" w:color="000000" w:fill="DEEAF6"/>
            <w:vAlign w:val="center"/>
            <w:hideMark/>
          </w:tcPr>
          <w:p w14:paraId="4EF618E6"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5</w:t>
            </w:r>
          </w:p>
        </w:tc>
        <w:tc>
          <w:tcPr>
            <w:tcW w:w="980" w:type="dxa"/>
            <w:tcBorders>
              <w:top w:val="nil"/>
              <w:left w:val="nil"/>
              <w:bottom w:val="single" w:sz="8" w:space="0" w:color="9CC2E5"/>
              <w:right w:val="single" w:sz="8" w:space="0" w:color="9CC2E5"/>
            </w:tcBorders>
            <w:shd w:val="clear" w:color="000000" w:fill="DEEAF6"/>
            <w:vAlign w:val="center"/>
            <w:hideMark/>
          </w:tcPr>
          <w:p w14:paraId="52261A7A"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27</w:t>
            </w:r>
          </w:p>
        </w:tc>
      </w:tr>
      <w:tr w:rsidR="00476D60" w:rsidRPr="00BF1898" w14:paraId="59DB49A9" w14:textId="77777777" w:rsidTr="00F83B44">
        <w:trPr>
          <w:trHeight w:val="492"/>
        </w:trPr>
        <w:tc>
          <w:tcPr>
            <w:tcW w:w="2836" w:type="dxa"/>
            <w:tcBorders>
              <w:top w:val="nil"/>
              <w:left w:val="single" w:sz="8" w:space="0" w:color="9CC2E5"/>
              <w:bottom w:val="single" w:sz="8" w:space="0" w:color="9CC2E5"/>
              <w:right w:val="single" w:sz="8" w:space="0" w:color="9CC2E5"/>
            </w:tcBorders>
            <w:shd w:val="clear" w:color="auto" w:fill="auto"/>
            <w:vAlign w:val="center"/>
            <w:hideMark/>
          </w:tcPr>
          <w:p w14:paraId="1CB2CD40" w14:textId="77777777" w:rsidR="00476D60" w:rsidRPr="00BF1898" w:rsidRDefault="00476D60" w:rsidP="00F83B44">
            <w:pPr>
              <w:rPr>
                <w:rFonts w:cs="Courier New"/>
                <w:sz w:val="18"/>
                <w:szCs w:val="18"/>
                <w:lang w:val="fr-FR" w:eastAsia="en-GB"/>
              </w:rPr>
            </w:pPr>
            <w:r w:rsidRPr="00BF1898">
              <w:rPr>
                <w:rFonts w:cs="Courier New"/>
                <w:sz w:val="18"/>
                <w:szCs w:val="18"/>
                <w:lang w:val="fr-FR" w:eastAsia="en-GB"/>
              </w:rPr>
              <w:t>Centres de santé au sein des DS</w:t>
            </w:r>
          </w:p>
        </w:tc>
        <w:tc>
          <w:tcPr>
            <w:tcW w:w="1276" w:type="dxa"/>
            <w:tcBorders>
              <w:top w:val="nil"/>
              <w:left w:val="nil"/>
              <w:bottom w:val="single" w:sz="8" w:space="0" w:color="9CC2E5"/>
              <w:right w:val="single" w:sz="8" w:space="0" w:color="9CC2E5"/>
            </w:tcBorders>
            <w:shd w:val="clear" w:color="auto" w:fill="auto"/>
            <w:vAlign w:val="center"/>
            <w:hideMark/>
          </w:tcPr>
          <w:p w14:paraId="1278C0CF"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81</w:t>
            </w:r>
          </w:p>
        </w:tc>
        <w:tc>
          <w:tcPr>
            <w:tcW w:w="992" w:type="dxa"/>
            <w:tcBorders>
              <w:top w:val="nil"/>
              <w:left w:val="nil"/>
              <w:bottom w:val="single" w:sz="8" w:space="0" w:color="9CC2E5"/>
              <w:right w:val="single" w:sz="8" w:space="0" w:color="9CC2E5"/>
            </w:tcBorders>
            <w:shd w:val="clear" w:color="auto" w:fill="auto"/>
            <w:vAlign w:val="center"/>
            <w:hideMark/>
          </w:tcPr>
          <w:p w14:paraId="3D896D49"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101</w:t>
            </w:r>
          </w:p>
        </w:tc>
        <w:tc>
          <w:tcPr>
            <w:tcW w:w="1276" w:type="dxa"/>
            <w:tcBorders>
              <w:top w:val="nil"/>
              <w:left w:val="nil"/>
              <w:bottom w:val="single" w:sz="8" w:space="0" w:color="9CC2E5"/>
              <w:right w:val="single" w:sz="8" w:space="0" w:color="9CC2E5"/>
            </w:tcBorders>
            <w:shd w:val="clear" w:color="auto" w:fill="auto"/>
            <w:vAlign w:val="center"/>
            <w:hideMark/>
          </w:tcPr>
          <w:p w14:paraId="5C326A2D"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58</w:t>
            </w:r>
          </w:p>
        </w:tc>
        <w:tc>
          <w:tcPr>
            <w:tcW w:w="850" w:type="dxa"/>
            <w:tcBorders>
              <w:top w:val="nil"/>
              <w:left w:val="nil"/>
              <w:bottom w:val="single" w:sz="8" w:space="0" w:color="9CC2E5"/>
              <w:right w:val="single" w:sz="8" w:space="0" w:color="9CC2E5"/>
            </w:tcBorders>
            <w:shd w:val="clear" w:color="auto" w:fill="auto"/>
            <w:vAlign w:val="center"/>
            <w:hideMark/>
          </w:tcPr>
          <w:p w14:paraId="15202654"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18</w:t>
            </w:r>
          </w:p>
        </w:tc>
        <w:tc>
          <w:tcPr>
            <w:tcW w:w="993" w:type="dxa"/>
            <w:tcBorders>
              <w:top w:val="nil"/>
              <w:left w:val="nil"/>
              <w:bottom w:val="single" w:sz="8" w:space="0" w:color="9CC2E5"/>
              <w:right w:val="single" w:sz="8" w:space="0" w:color="9CC2E5"/>
            </w:tcBorders>
            <w:shd w:val="clear" w:color="auto" w:fill="auto"/>
            <w:vAlign w:val="center"/>
            <w:hideMark/>
          </w:tcPr>
          <w:p w14:paraId="0D6B2029"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76</w:t>
            </w:r>
          </w:p>
        </w:tc>
        <w:tc>
          <w:tcPr>
            <w:tcW w:w="1081" w:type="dxa"/>
            <w:tcBorders>
              <w:top w:val="nil"/>
              <w:left w:val="nil"/>
              <w:bottom w:val="single" w:sz="8" w:space="0" w:color="9CC2E5"/>
              <w:right w:val="single" w:sz="8" w:space="0" w:color="9CC2E5"/>
            </w:tcBorders>
            <w:shd w:val="clear" w:color="auto" w:fill="auto"/>
            <w:vAlign w:val="center"/>
            <w:hideMark/>
          </w:tcPr>
          <w:p w14:paraId="61BD8ED9"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101</w:t>
            </w:r>
          </w:p>
        </w:tc>
        <w:tc>
          <w:tcPr>
            <w:tcW w:w="980" w:type="dxa"/>
            <w:tcBorders>
              <w:top w:val="nil"/>
              <w:left w:val="nil"/>
              <w:bottom w:val="single" w:sz="8" w:space="0" w:color="9CC2E5"/>
              <w:right w:val="single" w:sz="8" w:space="0" w:color="9CC2E5"/>
            </w:tcBorders>
            <w:shd w:val="clear" w:color="auto" w:fill="auto"/>
            <w:vAlign w:val="center"/>
            <w:hideMark/>
          </w:tcPr>
          <w:p w14:paraId="401DFF63"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435</w:t>
            </w:r>
          </w:p>
        </w:tc>
      </w:tr>
      <w:tr w:rsidR="00476D60" w:rsidRPr="00BF1898" w14:paraId="37FAA143" w14:textId="77777777" w:rsidTr="00F83B44">
        <w:trPr>
          <w:trHeight w:val="300"/>
        </w:trPr>
        <w:tc>
          <w:tcPr>
            <w:tcW w:w="2836" w:type="dxa"/>
            <w:tcBorders>
              <w:top w:val="nil"/>
              <w:left w:val="single" w:sz="8" w:space="0" w:color="9CC2E5"/>
              <w:bottom w:val="single" w:sz="8" w:space="0" w:color="9CC2E5"/>
              <w:right w:val="single" w:sz="8" w:space="0" w:color="9CC2E5"/>
            </w:tcBorders>
            <w:shd w:val="clear" w:color="000000" w:fill="DEEAF6"/>
            <w:vAlign w:val="center"/>
            <w:hideMark/>
          </w:tcPr>
          <w:p w14:paraId="4CA5CA49" w14:textId="77777777" w:rsidR="00476D60" w:rsidRPr="00BF1898" w:rsidRDefault="00476D60" w:rsidP="00F83B44">
            <w:pPr>
              <w:rPr>
                <w:rFonts w:cs="Courier New"/>
                <w:sz w:val="18"/>
                <w:szCs w:val="18"/>
                <w:lang w:val="en-GB" w:eastAsia="en-GB"/>
              </w:rPr>
            </w:pPr>
            <w:r w:rsidRPr="00BF1898">
              <w:rPr>
                <w:rFonts w:cs="Arial"/>
                <w:sz w:val="18"/>
                <w:szCs w:val="18"/>
                <w:lang w:val="fr-FR" w:eastAsia="en-GB"/>
              </w:rPr>
              <w:t>DS sélectionnés</w:t>
            </w:r>
          </w:p>
        </w:tc>
        <w:tc>
          <w:tcPr>
            <w:tcW w:w="1276" w:type="dxa"/>
            <w:tcBorders>
              <w:top w:val="nil"/>
              <w:left w:val="nil"/>
              <w:bottom w:val="single" w:sz="8" w:space="0" w:color="9CC2E5"/>
              <w:right w:val="single" w:sz="8" w:space="0" w:color="9CC2E5"/>
            </w:tcBorders>
            <w:shd w:val="clear" w:color="000000" w:fill="DEEAF6"/>
            <w:vAlign w:val="center"/>
            <w:hideMark/>
          </w:tcPr>
          <w:p w14:paraId="0F4E2FF5" w14:textId="77777777" w:rsidR="00476D60" w:rsidRPr="00BF1898" w:rsidRDefault="00476D60" w:rsidP="00F83B44">
            <w:pPr>
              <w:jc w:val="center"/>
              <w:rPr>
                <w:rFonts w:cs="Courier New"/>
                <w:sz w:val="18"/>
                <w:szCs w:val="18"/>
                <w:lang w:val="en-GB" w:eastAsia="en-GB"/>
              </w:rPr>
            </w:pPr>
            <w:r w:rsidRPr="00BF1898">
              <w:rPr>
                <w:rFonts w:cs="Courier New"/>
                <w:sz w:val="18"/>
                <w:szCs w:val="18"/>
                <w:lang w:val="fr-FR" w:eastAsia="en-GB"/>
              </w:rPr>
              <w:t>6</w:t>
            </w:r>
          </w:p>
        </w:tc>
        <w:tc>
          <w:tcPr>
            <w:tcW w:w="992" w:type="dxa"/>
            <w:tcBorders>
              <w:top w:val="nil"/>
              <w:left w:val="nil"/>
              <w:bottom w:val="single" w:sz="8" w:space="0" w:color="9CC2E5"/>
              <w:right w:val="single" w:sz="8" w:space="0" w:color="9CC2E5"/>
            </w:tcBorders>
            <w:shd w:val="clear" w:color="000000" w:fill="DEEAF6"/>
            <w:vAlign w:val="center"/>
            <w:hideMark/>
          </w:tcPr>
          <w:p w14:paraId="459290E3" w14:textId="77777777" w:rsidR="00476D60" w:rsidRPr="00BF1898" w:rsidRDefault="00476D60" w:rsidP="00F83B44">
            <w:pPr>
              <w:jc w:val="center"/>
              <w:rPr>
                <w:rFonts w:cs="Courier New"/>
                <w:sz w:val="18"/>
                <w:szCs w:val="18"/>
                <w:lang w:val="en-GB" w:eastAsia="en-GB"/>
              </w:rPr>
            </w:pPr>
            <w:r w:rsidRPr="00BF1898">
              <w:rPr>
                <w:rFonts w:cs="Courier New"/>
                <w:sz w:val="18"/>
                <w:szCs w:val="18"/>
                <w:lang w:val="fr-FR" w:eastAsia="en-GB"/>
              </w:rPr>
              <w:t>6</w:t>
            </w:r>
          </w:p>
        </w:tc>
        <w:tc>
          <w:tcPr>
            <w:tcW w:w="1276" w:type="dxa"/>
            <w:tcBorders>
              <w:top w:val="nil"/>
              <w:left w:val="nil"/>
              <w:bottom w:val="single" w:sz="8" w:space="0" w:color="9CC2E5"/>
              <w:right w:val="single" w:sz="8" w:space="0" w:color="9CC2E5"/>
            </w:tcBorders>
            <w:shd w:val="clear" w:color="000000" w:fill="DEEAF6"/>
            <w:vAlign w:val="center"/>
            <w:hideMark/>
          </w:tcPr>
          <w:p w14:paraId="22CD27DD" w14:textId="77777777" w:rsidR="00476D60" w:rsidRPr="00BF1898" w:rsidRDefault="00476D60" w:rsidP="00F83B44">
            <w:pPr>
              <w:jc w:val="center"/>
              <w:rPr>
                <w:rFonts w:cs="Courier New"/>
                <w:sz w:val="18"/>
                <w:szCs w:val="18"/>
                <w:lang w:val="en-GB" w:eastAsia="en-GB"/>
              </w:rPr>
            </w:pPr>
            <w:r w:rsidRPr="00BF1898">
              <w:rPr>
                <w:rFonts w:cs="Courier New"/>
                <w:sz w:val="18"/>
                <w:szCs w:val="18"/>
                <w:lang w:val="fr-FR" w:eastAsia="en-GB"/>
              </w:rPr>
              <w:t>5</w:t>
            </w:r>
          </w:p>
        </w:tc>
        <w:tc>
          <w:tcPr>
            <w:tcW w:w="850" w:type="dxa"/>
            <w:tcBorders>
              <w:top w:val="nil"/>
              <w:left w:val="nil"/>
              <w:bottom w:val="single" w:sz="8" w:space="0" w:color="9CC2E5"/>
              <w:right w:val="single" w:sz="8" w:space="0" w:color="9CC2E5"/>
            </w:tcBorders>
            <w:shd w:val="clear" w:color="000000" w:fill="DEEAF6"/>
            <w:vAlign w:val="center"/>
            <w:hideMark/>
          </w:tcPr>
          <w:p w14:paraId="337F0322" w14:textId="77777777" w:rsidR="00476D60" w:rsidRPr="00BF1898" w:rsidRDefault="00476D60" w:rsidP="00F83B44">
            <w:pPr>
              <w:jc w:val="center"/>
              <w:rPr>
                <w:rFonts w:cs="Courier New"/>
                <w:sz w:val="18"/>
                <w:szCs w:val="18"/>
                <w:lang w:val="en-GB" w:eastAsia="en-GB"/>
              </w:rPr>
            </w:pPr>
            <w:r w:rsidRPr="00BF1898">
              <w:rPr>
                <w:rFonts w:cs="Courier New"/>
                <w:sz w:val="18"/>
                <w:szCs w:val="18"/>
                <w:lang w:val="fr-FR" w:eastAsia="en-GB"/>
              </w:rPr>
              <w:t>1</w:t>
            </w:r>
          </w:p>
        </w:tc>
        <w:tc>
          <w:tcPr>
            <w:tcW w:w="993" w:type="dxa"/>
            <w:tcBorders>
              <w:top w:val="nil"/>
              <w:left w:val="nil"/>
              <w:bottom w:val="single" w:sz="8" w:space="0" w:color="9CC2E5"/>
              <w:right w:val="single" w:sz="8" w:space="0" w:color="9CC2E5"/>
            </w:tcBorders>
            <w:shd w:val="clear" w:color="000000" w:fill="DEEAF6"/>
            <w:vAlign w:val="center"/>
            <w:hideMark/>
          </w:tcPr>
          <w:p w14:paraId="2AA7EB85" w14:textId="77777777" w:rsidR="00476D60" w:rsidRPr="00BF1898" w:rsidRDefault="00476D60" w:rsidP="00F83B44">
            <w:pPr>
              <w:jc w:val="center"/>
              <w:rPr>
                <w:rFonts w:cs="Courier New"/>
                <w:sz w:val="18"/>
                <w:szCs w:val="18"/>
                <w:lang w:val="en-GB" w:eastAsia="en-GB"/>
              </w:rPr>
            </w:pPr>
            <w:r w:rsidRPr="00BF1898">
              <w:rPr>
                <w:rFonts w:cs="Courier New"/>
                <w:sz w:val="18"/>
                <w:szCs w:val="18"/>
                <w:lang w:val="fr-FR" w:eastAsia="en-GB"/>
              </w:rPr>
              <w:t>4</w:t>
            </w:r>
          </w:p>
        </w:tc>
        <w:tc>
          <w:tcPr>
            <w:tcW w:w="1081" w:type="dxa"/>
            <w:tcBorders>
              <w:top w:val="nil"/>
              <w:left w:val="nil"/>
              <w:bottom w:val="single" w:sz="8" w:space="0" w:color="9CC2E5"/>
              <w:right w:val="single" w:sz="8" w:space="0" w:color="9CC2E5"/>
            </w:tcBorders>
            <w:shd w:val="clear" w:color="000000" w:fill="DEEAF6"/>
            <w:vAlign w:val="center"/>
            <w:hideMark/>
          </w:tcPr>
          <w:p w14:paraId="070321B1" w14:textId="77777777" w:rsidR="00476D60" w:rsidRPr="00BF1898" w:rsidRDefault="00476D60" w:rsidP="00F83B44">
            <w:pPr>
              <w:jc w:val="center"/>
              <w:rPr>
                <w:rFonts w:cs="Courier New"/>
                <w:sz w:val="18"/>
                <w:szCs w:val="18"/>
                <w:lang w:val="en-GB" w:eastAsia="en-GB"/>
              </w:rPr>
            </w:pPr>
            <w:r w:rsidRPr="00BF1898">
              <w:rPr>
                <w:rFonts w:cs="Courier New"/>
                <w:sz w:val="18"/>
                <w:szCs w:val="18"/>
                <w:lang w:val="fr-FR" w:eastAsia="en-GB"/>
              </w:rPr>
              <w:t>5</w:t>
            </w:r>
          </w:p>
        </w:tc>
        <w:tc>
          <w:tcPr>
            <w:tcW w:w="980" w:type="dxa"/>
            <w:tcBorders>
              <w:top w:val="nil"/>
              <w:left w:val="nil"/>
              <w:bottom w:val="single" w:sz="8" w:space="0" w:color="9CC2E5"/>
              <w:right w:val="single" w:sz="8" w:space="0" w:color="9CC2E5"/>
            </w:tcBorders>
            <w:shd w:val="clear" w:color="000000" w:fill="DEEAF6"/>
            <w:vAlign w:val="center"/>
            <w:hideMark/>
          </w:tcPr>
          <w:p w14:paraId="1E3024A5" w14:textId="77777777" w:rsidR="00476D60" w:rsidRPr="00BF1898" w:rsidRDefault="00476D60" w:rsidP="00F83B44">
            <w:pPr>
              <w:jc w:val="center"/>
              <w:rPr>
                <w:rFonts w:cs="Courier New"/>
                <w:sz w:val="18"/>
                <w:szCs w:val="18"/>
                <w:lang w:val="en-GB" w:eastAsia="en-GB"/>
              </w:rPr>
            </w:pPr>
            <w:r w:rsidRPr="00BF1898">
              <w:rPr>
                <w:rFonts w:cs="Courier New"/>
                <w:sz w:val="18"/>
                <w:szCs w:val="18"/>
                <w:lang w:val="fr-FR" w:eastAsia="en-GB"/>
              </w:rPr>
              <w:t>27</w:t>
            </w:r>
          </w:p>
        </w:tc>
      </w:tr>
      <w:tr w:rsidR="00476D60" w:rsidRPr="00BF1898" w14:paraId="71B610A3" w14:textId="77777777" w:rsidTr="00F83B44">
        <w:trPr>
          <w:trHeight w:val="636"/>
        </w:trPr>
        <w:tc>
          <w:tcPr>
            <w:tcW w:w="2836" w:type="dxa"/>
            <w:tcBorders>
              <w:top w:val="nil"/>
              <w:left w:val="single" w:sz="8" w:space="0" w:color="9CC2E5"/>
              <w:bottom w:val="single" w:sz="8" w:space="0" w:color="9CC2E5"/>
              <w:right w:val="single" w:sz="8" w:space="0" w:color="9CC2E5"/>
            </w:tcBorders>
            <w:shd w:val="clear" w:color="auto" w:fill="auto"/>
            <w:vAlign w:val="center"/>
            <w:hideMark/>
          </w:tcPr>
          <w:p w14:paraId="25096095" w14:textId="77777777" w:rsidR="00476D60" w:rsidRPr="00BF1898" w:rsidRDefault="00476D60" w:rsidP="00F83B44">
            <w:pPr>
              <w:rPr>
                <w:rFonts w:cs="Courier New"/>
                <w:sz w:val="18"/>
                <w:szCs w:val="18"/>
                <w:lang w:val="en-GB" w:eastAsia="en-GB"/>
              </w:rPr>
            </w:pPr>
            <w:r w:rsidRPr="00BF1898">
              <w:rPr>
                <w:rFonts w:cs="Courier New"/>
                <w:sz w:val="18"/>
                <w:szCs w:val="18"/>
                <w:lang w:val="fr-FR" w:eastAsia="en-GB"/>
              </w:rPr>
              <w:t>Base d’échantillonnage CS</w:t>
            </w:r>
          </w:p>
        </w:tc>
        <w:tc>
          <w:tcPr>
            <w:tcW w:w="1276" w:type="dxa"/>
            <w:tcBorders>
              <w:top w:val="nil"/>
              <w:left w:val="nil"/>
              <w:bottom w:val="single" w:sz="8" w:space="0" w:color="9CC2E5"/>
              <w:right w:val="single" w:sz="8" w:space="0" w:color="9CC2E5"/>
            </w:tcBorders>
            <w:shd w:val="clear" w:color="auto" w:fill="auto"/>
            <w:vAlign w:val="center"/>
            <w:hideMark/>
          </w:tcPr>
          <w:p w14:paraId="73CAF46A"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81</w:t>
            </w:r>
          </w:p>
        </w:tc>
        <w:tc>
          <w:tcPr>
            <w:tcW w:w="992" w:type="dxa"/>
            <w:tcBorders>
              <w:top w:val="nil"/>
              <w:left w:val="nil"/>
              <w:bottom w:val="single" w:sz="8" w:space="0" w:color="9CC2E5"/>
              <w:right w:val="single" w:sz="8" w:space="0" w:color="9CC2E5"/>
            </w:tcBorders>
            <w:shd w:val="clear" w:color="auto" w:fill="auto"/>
            <w:vAlign w:val="center"/>
            <w:hideMark/>
          </w:tcPr>
          <w:p w14:paraId="4C0F80DE"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101</w:t>
            </w:r>
          </w:p>
        </w:tc>
        <w:tc>
          <w:tcPr>
            <w:tcW w:w="1276" w:type="dxa"/>
            <w:tcBorders>
              <w:top w:val="nil"/>
              <w:left w:val="nil"/>
              <w:bottom w:val="single" w:sz="8" w:space="0" w:color="9CC2E5"/>
              <w:right w:val="single" w:sz="8" w:space="0" w:color="9CC2E5"/>
            </w:tcBorders>
            <w:shd w:val="clear" w:color="auto" w:fill="auto"/>
            <w:vAlign w:val="center"/>
            <w:hideMark/>
          </w:tcPr>
          <w:p w14:paraId="09CF8FF4"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58</w:t>
            </w:r>
          </w:p>
        </w:tc>
        <w:tc>
          <w:tcPr>
            <w:tcW w:w="850" w:type="dxa"/>
            <w:tcBorders>
              <w:top w:val="nil"/>
              <w:left w:val="nil"/>
              <w:bottom w:val="single" w:sz="8" w:space="0" w:color="9CC2E5"/>
              <w:right w:val="single" w:sz="8" w:space="0" w:color="9CC2E5"/>
            </w:tcBorders>
            <w:shd w:val="clear" w:color="auto" w:fill="auto"/>
            <w:vAlign w:val="center"/>
            <w:hideMark/>
          </w:tcPr>
          <w:p w14:paraId="7AD24C2B"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18</w:t>
            </w:r>
          </w:p>
        </w:tc>
        <w:tc>
          <w:tcPr>
            <w:tcW w:w="993" w:type="dxa"/>
            <w:tcBorders>
              <w:top w:val="nil"/>
              <w:left w:val="nil"/>
              <w:bottom w:val="single" w:sz="8" w:space="0" w:color="9CC2E5"/>
              <w:right w:val="single" w:sz="8" w:space="0" w:color="9CC2E5"/>
            </w:tcBorders>
            <w:shd w:val="clear" w:color="auto" w:fill="auto"/>
            <w:vAlign w:val="center"/>
            <w:hideMark/>
          </w:tcPr>
          <w:p w14:paraId="70C1073A"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76</w:t>
            </w:r>
          </w:p>
        </w:tc>
        <w:tc>
          <w:tcPr>
            <w:tcW w:w="1081" w:type="dxa"/>
            <w:tcBorders>
              <w:top w:val="nil"/>
              <w:left w:val="nil"/>
              <w:bottom w:val="single" w:sz="8" w:space="0" w:color="9CC2E5"/>
              <w:right w:val="single" w:sz="8" w:space="0" w:color="9CC2E5"/>
            </w:tcBorders>
            <w:shd w:val="clear" w:color="auto" w:fill="auto"/>
            <w:vAlign w:val="center"/>
            <w:hideMark/>
          </w:tcPr>
          <w:p w14:paraId="383F34C8"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101</w:t>
            </w:r>
          </w:p>
        </w:tc>
        <w:tc>
          <w:tcPr>
            <w:tcW w:w="980" w:type="dxa"/>
            <w:tcBorders>
              <w:top w:val="nil"/>
              <w:left w:val="nil"/>
              <w:bottom w:val="single" w:sz="8" w:space="0" w:color="9CC2E5"/>
              <w:right w:val="single" w:sz="8" w:space="0" w:color="9CC2E5"/>
            </w:tcBorders>
            <w:shd w:val="clear" w:color="auto" w:fill="auto"/>
            <w:vAlign w:val="center"/>
            <w:hideMark/>
          </w:tcPr>
          <w:p w14:paraId="6BD8A81B"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435</w:t>
            </w:r>
          </w:p>
        </w:tc>
      </w:tr>
      <w:tr w:rsidR="00476D60" w:rsidRPr="00BF1898" w14:paraId="0287095F" w14:textId="77777777" w:rsidTr="00F83B44">
        <w:trPr>
          <w:trHeight w:val="768"/>
        </w:trPr>
        <w:tc>
          <w:tcPr>
            <w:tcW w:w="2836" w:type="dxa"/>
            <w:tcBorders>
              <w:top w:val="nil"/>
              <w:left w:val="single" w:sz="8" w:space="0" w:color="9CC2E5"/>
              <w:bottom w:val="single" w:sz="8" w:space="0" w:color="9CC2E5"/>
              <w:right w:val="single" w:sz="8" w:space="0" w:color="9CC2E5"/>
            </w:tcBorders>
            <w:shd w:val="clear" w:color="000000" w:fill="DEEAF6"/>
            <w:vAlign w:val="center"/>
            <w:hideMark/>
          </w:tcPr>
          <w:p w14:paraId="70A92EBB" w14:textId="77777777" w:rsidR="00476D60" w:rsidRPr="00BF1898" w:rsidRDefault="00476D60" w:rsidP="00F83B44">
            <w:pPr>
              <w:rPr>
                <w:rFonts w:cs="Courier New"/>
                <w:sz w:val="18"/>
                <w:szCs w:val="18"/>
                <w:lang w:val="en-GB" w:eastAsia="en-GB"/>
              </w:rPr>
            </w:pPr>
            <w:r w:rsidRPr="00BF1898">
              <w:rPr>
                <w:rFonts w:cs="Courier New"/>
                <w:sz w:val="18"/>
                <w:szCs w:val="18"/>
                <w:lang w:val="fr-FR" w:eastAsia="en-GB"/>
              </w:rPr>
              <w:t>Fraction d’échantillonnage des CS @ 30%</w:t>
            </w:r>
          </w:p>
        </w:tc>
        <w:tc>
          <w:tcPr>
            <w:tcW w:w="1276" w:type="dxa"/>
            <w:tcBorders>
              <w:top w:val="nil"/>
              <w:left w:val="nil"/>
              <w:bottom w:val="single" w:sz="8" w:space="0" w:color="9CC2E5"/>
              <w:right w:val="single" w:sz="8" w:space="0" w:color="9CC2E5"/>
            </w:tcBorders>
            <w:shd w:val="clear" w:color="000000" w:fill="DEEAF6"/>
            <w:vAlign w:val="center"/>
            <w:hideMark/>
          </w:tcPr>
          <w:p w14:paraId="25729CF8"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27</w:t>
            </w:r>
          </w:p>
        </w:tc>
        <w:tc>
          <w:tcPr>
            <w:tcW w:w="992" w:type="dxa"/>
            <w:tcBorders>
              <w:top w:val="nil"/>
              <w:left w:val="nil"/>
              <w:bottom w:val="single" w:sz="8" w:space="0" w:color="9CC2E5"/>
              <w:right w:val="single" w:sz="8" w:space="0" w:color="9CC2E5"/>
            </w:tcBorders>
            <w:shd w:val="clear" w:color="000000" w:fill="DEEAF6"/>
            <w:vAlign w:val="center"/>
            <w:hideMark/>
          </w:tcPr>
          <w:p w14:paraId="38FC9243"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34</w:t>
            </w:r>
          </w:p>
        </w:tc>
        <w:tc>
          <w:tcPr>
            <w:tcW w:w="1276" w:type="dxa"/>
            <w:tcBorders>
              <w:top w:val="nil"/>
              <w:left w:val="nil"/>
              <w:bottom w:val="single" w:sz="8" w:space="0" w:color="9CC2E5"/>
              <w:right w:val="single" w:sz="8" w:space="0" w:color="9CC2E5"/>
            </w:tcBorders>
            <w:shd w:val="clear" w:color="000000" w:fill="DEEAF6"/>
            <w:vAlign w:val="center"/>
            <w:hideMark/>
          </w:tcPr>
          <w:p w14:paraId="4C83E8B5"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19</w:t>
            </w:r>
          </w:p>
        </w:tc>
        <w:tc>
          <w:tcPr>
            <w:tcW w:w="850" w:type="dxa"/>
            <w:tcBorders>
              <w:top w:val="nil"/>
              <w:left w:val="nil"/>
              <w:bottom w:val="single" w:sz="8" w:space="0" w:color="9CC2E5"/>
              <w:right w:val="single" w:sz="8" w:space="0" w:color="9CC2E5"/>
            </w:tcBorders>
            <w:shd w:val="clear" w:color="000000" w:fill="DEEAF6"/>
            <w:vAlign w:val="center"/>
            <w:hideMark/>
          </w:tcPr>
          <w:p w14:paraId="7B8355D2"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6</w:t>
            </w:r>
          </w:p>
        </w:tc>
        <w:tc>
          <w:tcPr>
            <w:tcW w:w="993" w:type="dxa"/>
            <w:tcBorders>
              <w:top w:val="nil"/>
              <w:left w:val="nil"/>
              <w:bottom w:val="single" w:sz="8" w:space="0" w:color="9CC2E5"/>
              <w:right w:val="single" w:sz="8" w:space="0" w:color="9CC2E5"/>
            </w:tcBorders>
            <w:shd w:val="clear" w:color="000000" w:fill="DEEAF6"/>
            <w:vAlign w:val="center"/>
            <w:hideMark/>
          </w:tcPr>
          <w:p w14:paraId="788052F8"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25</w:t>
            </w:r>
          </w:p>
        </w:tc>
        <w:tc>
          <w:tcPr>
            <w:tcW w:w="1081" w:type="dxa"/>
            <w:tcBorders>
              <w:top w:val="nil"/>
              <w:left w:val="nil"/>
              <w:bottom w:val="single" w:sz="8" w:space="0" w:color="9CC2E5"/>
              <w:right w:val="single" w:sz="8" w:space="0" w:color="9CC2E5"/>
            </w:tcBorders>
            <w:shd w:val="clear" w:color="000000" w:fill="DEEAF6"/>
            <w:vAlign w:val="center"/>
            <w:hideMark/>
          </w:tcPr>
          <w:p w14:paraId="6DFBF3B2"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34</w:t>
            </w:r>
          </w:p>
        </w:tc>
        <w:tc>
          <w:tcPr>
            <w:tcW w:w="980" w:type="dxa"/>
            <w:tcBorders>
              <w:top w:val="nil"/>
              <w:left w:val="nil"/>
              <w:bottom w:val="single" w:sz="8" w:space="0" w:color="9CC2E5"/>
              <w:right w:val="single" w:sz="8" w:space="0" w:color="9CC2E5"/>
            </w:tcBorders>
            <w:shd w:val="clear" w:color="000000" w:fill="DEEAF6"/>
            <w:vAlign w:val="center"/>
            <w:hideMark/>
          </w:tcPr>
          <w:p w14:paraId="75C0DA63"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145</w:t>
            </w:r>
          </w:p>
        </w:tc>
      </w:tr>
      <w:tr w:rsidR="00476D60" w:rsidRPr="00BF1898" w14:paraId="13FBF67F" w14:textId="77777777" w:rsidTr="00F83B44">
        <w:trPr>
          <w:trHeight w:val="551"/>
        </w:trPr>
        <w:tc>
          <w:tcPr>
            <w:tcW w:w="2836" w:type="dxa"/>
            <w:tcBorders>
              <w:top w:val="nil"/>
              <w:left w:val="single" w:sz="8" w:space="0" w:color="9CC2E5"/>
              <w:bottom w:val="single" w:sz="8" w:space="0" w:color="9CC2E5"/>
              <w:right w:val="single" w:sz="8" w:space="0" w:color="9CC2E5"/>
            </w:tcBorders>
            <w:shd w:val="clear" w:color="auto" w:fill="auto"/>
            <w:vAlign w:val="center"/>
            <w:hideMark/>
          </w:tcPr>
          <w:p w14:paraId="117F294D" w14:textId="77777777" w:rsidR="00476D60" w:rsidRPr="00BF1898" w:rsidRDefault="00476D60" w:rsidP="00F83B44">
            <w:pPr>
              <w:rPr>
                <w:rFonts w:cs="Courier New"/>
                <w:sz w:val="18"/>
                <w:szCs w:val="18"/>
                <w:lang w:val="fr-FR" w:eastAsia="en-GB"/>
              </w:rPr>
            </w:pPr>
            <w:r w:rsidRPr="00BF1898">
              <w:rPr>
                <w:rFonts w:cs="Arial"/>
                <w:sz w:val="18"/>
                <w:szCs w:val="18"/>
                <w:lang w:val="fr-FR" w:eastAsia="en-GB"/>
              </w:rPr>
              <w:t>Nombre moyen de CS ruraux</w:t>
            </w:r>
          </w:p>
        </w:tc>
        <w:tc>
          <w:tcPr>
            <w:tcW w:w="1276" w:type="dxa"/>
            <w:tcBorders>
              <w:top w:val="nil"/>
              <w:left w:val="nil"/>
              <w:bottom w:val="single" w:sz="8" w:space="0" w:color="9CC2E5"/>
              <w:right w:val="single" w:sz="8" w:space="0" w:color="9CC2E5"/>
            </w:tcBorders>
            <w:shd w:val="clear" w:color="auto" w:fill="auto"/>
            <w:vAlign w:val="center"/>
            <w:hideMark/>
          </w:tcPr>
          <w:p w14:paraId="566033C2" w14:textId="77777777" w:rsidR="00476D60" w:rsidRPr="00BF1898" w:rsidRDefault="00476D60" w:rsidP="00F83B44">
            <w:pPr>
              <w:jc w:val="center"/>
              <w:rPr>
                <w:rFonts w:cs="Courier New"/>
                <w:sz w:val="18"/>
                <w:szCs w:val="18"/>
                <w:lang w:val="en-GB" w:eastAsia="en-GB"/>
              </w:rPr>
            </w:pPr>
            <w:r w:rsidRPr="00BF1898">
              <w:rPr>
                <w:rFonts w:cs="Courier New"/>
                <w:sz w:val="18"/>
                <w:szCs w:val="18"/>
                <w:lang w:val="fr-FR" w:eastAsia="en-GB"/>
              </w:rPr>
              <w:t>21</w:t>
            </w:r>
          </w:p>
        </w:tc>
        <w:tc>
          <w:tcPr>
            <w:tcW w:w="992" w:type="dxa"/>
            <w:tcBorders>
              <w:top w:val="nil"/>
              <w:left w:val="nil"/>
              <w:bottom w:val="single" w:sz="8" w:space="0" w:color="9CC2E5"/>
              <w:right w:val="single" w:sz="8" w:space="0" w:color="9CC2E5"/>
            </w:tcBorders>
            <w:shd w:val="clear" w:color="auto" w:fill="auto"/>
            <w:vAlign w:val="center"/>
            <w:hideMark/>
          </w:tcPr>
          <w:p w14:paraId="43AE8094" w14:textId="77777777" w:rsidR="00476D60" w:rsidRPr="00BF1898" w:rsidRDefault="00476D60" w:rsidP="00F83B44">
            <w:pPr>
              <w:jc w:val="center"/>
              <w:rPr>
                <w:rFonts w:cs="Courier New"/>
                <w:sz w:val="18"/>
                <w:szCs w:val="18"/>
                <w:lang w:val="en-GB" w:eastAsia="en-GB"/>
              </w:rPr>
            </w:pPr>
            <w:r w:rsidRPr="00BF1898">
              <w:rPr>
                <w:rFonts w:cs="Courier New"/>
                <w:sz w:val="18"/>
                <w:szCs w:val="18"/>
                <w:lang w:val="fr-FR" w:eastAsia="en-GB"/>
              </w:rPr>
              <w:t>28</w:t>
            </w:r>
          </w:p>
        </w:tc>
        <w:tc>
          <w:tcPr>
            <w:tcW w:w="1276" w:type="dxa"/>
            <w:tcBorders>
              <w:top w:val="nil"/>
              <w:left w:val="nil"/>
              <w:bottom w:val="single" w:sz="8" w:space="0" w:color="9CC2E5"/>
              <w:right w:val="single" w:sz="8" w:space="0" w:color="9CC2E5"/>
            </w:tcBorders>
            <w:shd w:val="clear" w:color="auto" w:fill="auto"/>
            <w:vAlign w:val="center"/>
            <w:hideMark/>
          </w:tcPr>
          <w:p w14:paraId="18878536" w14:textId="77777777" w:rsidR="00476D60" w:rsidRPr="00BF1898" w:rsidRDefault="00476D60" w:rsidP="00F83B44">
            <w:pPr>
              <w:jc w:val="center"/>
              <w:rPr>
                <w:rFonts w:cs="Courier New"/>
                <w:sz w:val="18"/>
                <w:szCs w:val="18"/>
                <w:lang w:val="en-GB" w:eastAsia="en-GB"/>
              </w:rPr>
            </w:pPr>
            <w:r w:rsidRPr="00BF1898">
              <w:rPr>
                <w:rFonts w:cs="Courier New"/>
                <w:sz w:val="18"/>
                <w:szCs w:val="18"/>
                <w:lang w:val="fr-FR" w:eastAsia="en-GB"/>
              </w:rPr>
              <w:t>14</w:t>
            </w:r>
          </w:p>
        </w:tc>
        <w:tc>
          <w:tcPr>
            <w:tcW w:w="850" w:type="dxa"/>
            <w:tcBorders>
              <w:top w:val="nil"/>
              <w:left w:val="nil"/>
              <w:bottom w:val="single" w:sz="8" w:space="0" w:color="9CC2E5"/>
              <w:right w:val="single" w:sz="8" w:space="0" w:color="9CC2E5"/>
            </w:tcBorders>
            <w:shd w:val="clear" w:color="auto" w:fill="auto"/>
            <w:vAlign w:val="center"/>
            <w:hideMark/>
          </w:tcPr>
          <w:p w14:paraId="220E1B1F" w14:textId="77777777" w:rsidR="00476D60" w:rsidRPr="00BF1898" w:rsidRDefault="00476D60" w:rsidP="00F83B44">
            <w:pPr>
              <w:jc w:val="center"/>
              <w:rPr>
                <w:rFonts w:cs="Courier New"/>
                <w:sz w:val="18"/>
                <w:szCs w:val="18"/>
                <w:lang w:val="en-GB" w:eastAsia="en-GB"/>
              </w:rPr>
            </w:pPr>
            <w:r w:rsidRPr="00BF1898">
              <w:rPr>
                <w:rFonts w:cs="Courier New"/>
                <w:sz w:val="18"/>
                <w:szCs w:val="18"/>
                <w:lang w:val="fr-FR" w:eastAsia="en-GB"/>
              </w:rPr>
              <w:t>5</w:t>
            </w:r>
          </w:p>
        </w:tc>
        <w:tc>
          <w:tcPr>
            <w:tcW w:w="993" w:type="dxa"/>
            <w:tcBorders>
              <w:top w:val="nil"/>
              <w:left w:val="nil"/>
              <w:bottom w:val="single" w:sz="8" w:space="0" w:color="9CC2E5"/>
              <w:right w:val="single" w:sz="8" w:space="0" w:color="9CC2E5"/>
            </w:tcBorders>
            <w:shd w:val="clear" w:color="auto" w:fill="auto"/>
            <w:vAlign w:val="center"/>
            <w:hideMark/>
          </w:tcPr>
          <w:p w14:paraId="12333813" w14:textId="77777777" w:rsidR="00476D60" w:rsidRPr="00BF1898" w:rsidRDefault="00476D60" w:rsidP="00F83B44">
            <w:pPr>
              <w:jc w:val="center"/>
              <w:rPr>
                <w:rFonts w:cs="Courier New"/>
                <w:sz w:val="18"/>
                <w:szCs w:val="18"/>
                <w:lang w:val="en-GB" w:eastAsia="en-GB"/>
              </w:rPr>
            </w:pPr>
            <w:r w:rsidRPr="00BF1898">
              <w:rPr>
                <w:rFonts w:cs="Courier New"/>
                <w:sz w:val="18"/>
                <w:szCs w:val="18"/>
                <w:lang w:val="fr-FR" w:eastAsia="en-GB"/>
              </w:rPr>
              <w:t>21</w:t>
            </w:r>
          </w:p>
        </w:tc>
        <w:tc>
          <w:tcPr>
            <w:tcW w:w="1081" w:type="dxa"/>
            <w:tcBorders>
              <w:top w:val="nil"/>
              <w:left w:val="nil"/>
              <w:bottom w:val="single" w:sz="8" w:space="0" w:color="9CC2E5"/>
              <w:right w:val="single" w:sz="8" w:space="0" w:color="9CC2E5"/>
            </w:tcBorders>
            <w:shd w:val="clear" w:color="auto" w:fill="auto"/>
            <w:vAlign w:val="center"/>
            <w:hideMark/>
          </w:tcPr>
          <w:p w14:paraId="51FAF323" w14:textId="77777777" w:rsidR="00476D60" w:rsidRPr="00BF1898" w:rsidRDefault="00476D60" w:rsidP="00F83B44">
            <w:pPr>
              <w:jc w:val="center"/>
              <w:rPr>
                <w:rFonts w:cs="Courier New"/>
                <w:sz w:val="18"/>
                <w:szCs w:val="18"/>
                <w:lang w:val="en-GB" w:eastAsia="en-GB"/>
              </w:rPr>
            </w:pPr>
            <w:r w:rsidRPr="00BF1898">
              <w:rPr>
                <w:rFonts w:cs="Courier New"/>
                <w:sz w:val="18"/>
                <w:szCs w:val="18"/>
                <w:lang w:val="fr-FR" w:eastAsia="en-GB"/>
              </w:rPr>
              <w:t>7</w:t>
            </w:r>
          </w:p>
        </w:tc>
        <w:tc>
          <w:tcPr>
            <w:tcW w:w="980" w:type="dxa"/>
            <w:tcBorders>
              <w:top w:val="nil"/>
              <w:left w:val="nil"/>
              <w:bottom w:val="single" w:sz="8" w:space="0" w:color="9CC2E5"/>
              <w:right w:val="single" w:sz="8" w:space="0" w:color="9CC2E5"/>
            </w:tcBorders>
            <w:shd w:val="clear" w:color="auto" w:fill="auto"/>
            <w:vAlign w:val="center"/>
            <w:hideMark/>
          </w:tcPr>
          <w:p w14:paraId="234E756F" w14:textId="77777777" w:rsidR="00476D60" w:rsidRPr="00BF1898" w:rsidRDefault="00476D60" w:rsidP="00F83B44">
            <w:pPr>
              <w:jc w:val="center"/>
              <w:rPr>
                <w:rFonts w:cs="Courier New"/>
                <w:sz w:val="18"/>
                <w:szCs w:val="18"/>
                <w:lang w:val="en-GB" w:eastAsia="en-GB"/>
              </w:rPr>
            </w:pPr>
            <w:r w:rsidRPr="00BF1898">
              <w:rPr>
                <w:rFonts w:cs="Courier New"/>
                <w:sz w:val="18"/>
                <w:szCs w:val="18"/>
                <w:lang w:val="fr-FR" w:eastAsia="en-GB"/>
              </w:rPr>
              <w:t>96</w:t>
            </w:r>
          </w:p>
        </w:tc>
      </w:tr>
      <w:tr w:rsidR="00476D60" w:rsidRPr="00BF1898" w14:paraId="680A869B" w14:textId="77777777" w:rsidTr="00F83B44">
        <w:trPr>
          <w:trHeight w:val="532"/>
        </w:trPr>
        <w:tc>
          <w:tcPr>
            <w:tcW w:w="2836" w:type="dxa"/>
            <w:tcBorders>
              <w:top w:val="nil"/>
              <w:left w:val="single" w:sz="8" w:space="0" w:color="9CC2E5"/>
              <w:bottom w:val="single" w:sz="8" w:space="0" w:color="9CC2E5"/>
              <w:right w:val="single" w:sz="8" w:space="0" w:color="9CC2E5"/>
            </w:tcBorders>
            <w:shd w:val="clear" w:color="000000" w:fill="DEEAF6"/>
            <w:vAlign w:val="center"/>
            <w:hideMark/>
          </w:tcPr>
          <w:p w14:paraId="442C3171" w14:textId="77777777" w:rsidR="00476D60" w:rsidRPr="00BF1898" w:rsidRDefault="00476D60" w:rsidP="00F83B44">
            <w:pPr>
              <w:rPr>
                <w:rFonts w:cs="Courier New"/>
                <w:sz w:val="18"/>
                <w:szCs w:val="18"/>
                <w:lang w:val="en-GB" w:eastAsia="en-GB"/>
              </w:rPr>
            </w:pPr>
            <w:r w:rsidRPr="00BF1898">
              <w:rPr>
                <w:rFonts w:cs="Arial"/>
                <w:sz w:val="18"/>
                <w:szCs w:val="18"/>
                <w:lang w:val="fr-FR" w:eastAsia="en-GB"/>
              </w:rPr>
              <w:t>Nombre moyen CS urbains</w:t>
            </w:r>
          </w:p>
        </w:tc>
        <w:tc>
          <w:tcPr>
            <w:tcW w:w="1276" w:type="dxa"/>
            <w:tcBorders>
              <w:top w:val="nil"/>
              <w:left w:val="nil"/>
              <w:bottom w:val="single" w:sz="8" w:space="0" w:color="9CC2E5"/>
              <w:right w:val="single" w:sz="8" w:space="0" w:color="9CC2E5"/>
            </w:tcBorders>
            <w:shd w:val="clear" w:color="000000" w:fill="DEEAF6"/>
            <w:vAlign w:val="center"/>
            <w:hideMark/>
          </w:tcPr>
          <w:p w14:paraId="6E718494"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6</w:t>
            </w:r>
          </w:p>
        </w:tc>
        <w:tc>
          <w:tcPr>
            <w:tcW w:w="992" w:type="dxa"/>
            <w:tcBorders>
              <w:top w:val="nil"/>
              <w:left w:val="nil"/>
              <w:bottom w:val="single" w:sz="8" w:space="0" w:color="9CC2E5"/>
              <w:right w:val="single" w:sz="8" w:space="0" w:color="9CC2E5"/>
            </w:tcBorders>
            <w:shd w:val="clear" w:color="000000" w:fill="DEEAF6"/>
            <w:vAlign w:val="center"/>
            <w:hideMark/>
          </w:tcPr>
          <w:p w14:paraId="13F81B61"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6</w:t>
            </w:r>
          </w:p>
        </w:tc>
        <w:tc>
          <w:tcPr>
            <w:tcW w:w="1276" w:type="dxa"/>
            <w:tcBorders>
              <w:top w:val="nil"/>
              <w:left w:val="nil"/>
              <w:bottom w:val="single" w:sz="8" w:space="0" w:color="9CC2E5"/>
              <w:right w:val="single" w:sz="8" w:space="0" w:color="9CC2E5"/>
            </w:tcBorders>
            <w:shd w:val="clear" w:color="000000" w:fill="DEEAF6"/>
            <w:vAlign w:val="center"/>
            <w:hideMark/>
          </w:tcPr>
          <w:p w14:paraId="303F0439"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5</w:t>
            </w:r>
          </w:p>
        </w:tc>
        <w:tc>
          <w:tcPr>
            <w:tcW w:w="850" w:type="dxa"/>
            <w:tcBorders>
              <w:top w:val="nil"/>
              <w:left w:val="nil"/>
              <w:bottom w:val="single" w:sz="8" w:space="0" w:color="9CC2E5"/>
              <w:right w:val="single" w:sz="8" w:space="0" w:color="9CC2E5"/>
            </w:tcBorders>
            <w:shd w:val="clear" w:color="000000" w:fill="DEEAF6"/>
            <w:vAlign w:val="center"/>
            <w:hideMark/>
          </w:tcPr>
          <w:p w14:paraId="7C91CA15"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1</w:t>
            </w:r>
          </w:p>
        </w:tc>
        <w:tc>
          <w:tcPr>
            <w:tcW w:w="993" w:type="dxa"/>
            <w:tcBorders>
              <w:top w:val="nil"/>
              <w:left w:val="nil"/>
              <w:bottom w:val="single" w:sz="8" w:space="0" w:color="9CC2E5"/>
              <w:right w:val="single" w:sz="8" w:space="0" w:color="9CC2E5"/>
            </w:tcBorders>
            <w:shd w:val="clear" w:color="000000" w:fill="DEEAF6"/>
            <w:vAlign w:val="center"/>
            <w:hideMark/>
          </w:tcPr>
          <w:p w14:paraId="00027D7F"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4</w:t>
            </w:r>
          </w:p>
        </w:tc>
        <w:tc>
          <w:tcPr>
            <w:tcW w:w="1081" w:type="dxa"/>
            <w:tcBorders>
              <w:top w:val="nil"/>
              <w:left w:val="nil"/>
              <w:bottom w:val="single" w:sz="8" w:space="0" w:color="9CC2E5"/>
              <w:right w:val="single" w:sz="8" w:space="0" w:color="9CC2E5"/>
            </w:tcBorders>
            <w:shd w:val="clear" w:color="000000" w:fill="DEEAF6"/>
            <w:vAlign w:val="center"/>
            <w:hideMark/>
          </w:tcPr>
          <w:p w14:paraId="7A9519F8"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20</w:t>
            </w:r>
          </w:p>
        </w:tc>
        <w:tc>
          <w:tcPr>
            <w:tcW w:w="980" w:type="dxa"/>
            <w:tcBorders>
              <w:top w:val="nil"/>
              <w:left w:val="nil"/>
              <w:bottom w:val="single" w:sz="8" w:space="0" w:color="9CC2E5"/>
              <w:right w:val="single" w:sz="8" w:space="0" w:color="9CC2E5"/>
            </w:tcBorders>
            <w:shd w:val="clear" w:color="000000" w:fill="DEEAF6"/>
            <w:vAlign w:val="center"/>
            <w:hideMark/>
          </w:tcPr>
          <w:p w14:paraId="45123F13" w14:textId="77777777" w:rsidR="00476D60" w:rsidRPr="00BF1898" w:rsidRDefault="00476D60" w:rsidP="00F83B44">
            <w:pPr>
              <w:jc w:val="center"/>
              <w:rPr>
                <w:rFonts w:cs="Courier New"/>
                <w:sz w:val="18"/>
                <w:szCs w:val="18"/>
                <w:lang w:val="en-GB" w:eastAsia="en-GB"/>
              </w:rPr>
            </w:pPr>
            <w:r w:rsidRPr="00BF1898">
              <w:rPr>
                <w:rFonts w:cs="Arial"/>
                <w:sz w:val="18"/>
                <w:szCs w:val="18"/>
                <w:lang w:val="fr-FR" w:eastAsia="en-GB"/>
              </w:rPr>
              <w:t>42</w:t>
            </w:r>
          </w:p>
        </w:tc>
      </w:tr>
      <w:tr w:rsidR="00476D60" w:rsidRPr="00BF1898" w14:paraId="02CDFAC7" w14:textId="77777777" w:rsidTr="00F83B44">
        <w:trPr>
          <w:trHeight w:val="597"/>
        </w:trPr>
        <w:tc>
          <w:tcPr>
            <w:tcW w:w="2836" w:type="dxa"/>
            <w:tcBorders>
              <w:top w:val="nil"/>
              <w:left w:val="single" w:sz="8" w:space="0" w:color="9CC2E5"/>
              <w:bottom w:val="single" w:sz="8" w:space="0" w:color="9CC2E5"/>
              <w:right w:val="single" w:sz="8" w:space="0" w:color="9CC2E5"/>
            </w:tcBorders>
            <w:shd w:val="clear" w:color="auto" w:fill="auto"/>
            <w:vAlign w:val="center"/>
            <w:hideMark/>
          </w:tcPr>
          <w:p w14:paraId="76DAC5D1" w14:textId="77777777" w:rsidR="00476D60" w:rsidRPr="00BF1898" w:rsidRDefault="00476D60" w:rsidP="00F83B44">
            <w:pPr>
              <w:rPr>
                <w:rFonts w:cs="Courier New"/>
                <w:sz w:val="18"/>
                <w:szCs w:val="18"/>
                <w:lang w:val="en-GB" w:eastAsia="en-GB"/>
              </w:rPr>
            </w:pPr>
            <w:r w:rsidRPr="00BF1898">
              <w:rPr>
                <w:rFonts w:cs="Courier New"/>
                <w:sz w:val="18"/>
                <w:szCs w:val="18"/>
                <w:lang w:val="fr-FR" w:eastAsia="en-GB"/>
              </w:rPr>
              <w:t>Echantillon de concessions</w:t>
            </w:r>
          </w:p>
        </w:tc>
        <w:tc>
          <w:tcPr>
            <w:tcW w:w="1276" w:type="dxa"/>
            <w:tcBorders>
              <w:top w:val="nil"/>
              <w:left w:val="nil"/>
              <w:bottom w:val="single" w:sz="8" w:space="0" w:color="9CC2E5"/>
              <w:right w:val="single" w:sz="8" w:space="0" w:color="9CC2E5"/>
            </w:tcBorders>
            <w:shd w:val="clear" w:color="auto" w:fill="auto"/>
            <w:vAlign w:val="center"/>
            <w:hideMark/>
          </w:tcPr>
          <w:p w14:paraId="41E3D724" w14:textId="77777777" w:rsidR="00476D60" w:rsidRPr="00BF1898" w:rsidRDefault="00476D60" w:rsidP="00F83B44">
            <w:pPr>
              <w:jc w:val="center"/>
              <w:rPr>
                <w:rFonts w:cs="Courier New"/>
                <w:b/>
                <w:bCs/>
                <w:sz w:val="18"/>
                <w:szCs w:val="18"/>
                <w:lang w:val="en-GB" w:eastAsia="en-GB"/>
              </w:rPr>
            </w:pPr>
            <w:r w:rsidRPr="00BF1898">
              <w:rPr>
                <w:rFonts w:cs="Arial"/>
                <w:b/>
                <w:bCs/>
                <w:sz w:val="18"/>
                <w:szCs w:val="18"/>
                <w:lang w:val="fr-FR" w:eastAsia="en-GB"/>
              </w:rPr>
              <w:t>675</w:t>
            </w:r>
          </w:p>
        </w:tc>
        <w:tc>
          <w:tcPr>
            <w:tcW w:w="992" w:type="dxa"/>
            <w:tcBorders>
              <w:top w:val="nil"/>
              <w:left w:val="nil"/>
              <w:bottom w:val="single" w:sz="8" w:space="0" w:color="9CC2E5"/>
              <w:right w:val="single" w:sz="8" w:space="0" w:color="9CC2E5"/>
            </w:tcBorders>
            <w:shd w:val="clear" w:color="auto" w:fill="auto"/>
            <w:vAlign w:val="center"/>
            <w:hideMark/>
          </w:tcPr>
          <w:p w14:paraId="5CC14F6D" w14:textId="77777777" w:rsidR="00476D60" w:rsidRPr="00BF1898" w:rsidRDefault="00476D60" w:rsidP="00F83B44">
            <w:pPr>
              <w:jc w:val="center"/>
              <w:rPr>
                <w:rFonts w:cs="Courier New"/>
                <w:b/>
                <w:bCs/>
                <w:sz w:val="18"/>
                <w:szCs w:val="18"/>
                <w:lang w:val="en-GB" w:eastAsia="en-GB"/>
              </w:rPr>
            </w:pPr>
            <w:r w:rsidRPr="00BF1898">
              <w:rPr>
                <w:rFonts w:cs="Arial"/>
                <w:b/>
                <w:bCs/>
                <w:sz w:val="18"/>
                <w:szCs w:val="18"/>
                <w:lang w:val="fr-FR" w:eastAsia="en-GB"/>
              </w:rPr>
              <w:t>842</w:t>
            </w:r>
          </w:p>
        </w:tc>
        <w:tc>
          <w:tcPr>
            <w:tcW w:w="1276" w:type="dxa"/>
            <w:tcBorders>
              <w:top w:val="nil"/>
              <w:left w:val="nil"/>
              <w:bottom w:val="single" w:sz="8" w:space="0" w:color="9CC2E5"/>
              <w:right w:val="single" w:sz="8" w:space="0" w:color="9CC2E5"/>
            </w:tcBorders>
            <w:shd w:val="clear" w:color="auto" w:fill="auto"/>
            <w:vAlign w:val="center"/>
            <w:hideMark/>
          </w:tcPr>
          <w:p w14:paraId="7F10F025" w14:textId="77777777" w:rsidR="00476D60" w:rsidRPr="00BF1898" w:rsidRDefault="00476D60" w:rsidP="00F83B44">
            <w:pPr>
              <w:jc w:val="center"/>
              <w:rPr>
                <w:rFonts w:cs="Courier New"/>
                <w:b/>
                <w:bCs/>
                <w:sz w:val="18"/>
                <w:szCs w:val="18"/>
                <w:lang w:val="en-GB" w:eastAsia="en-GB"/>
              </w:rPr>
            </w:pPr>
            <w:r w:rsidRPr="00BF1898">
              <w:rPr>
                <w:rFonts w:cs="Arial"/>
                <w:b/>
                <w:bCs/>
                <w:sz w:val="18"/>
                <w:szCs w:val="18"/>
                <w:lang w:val="fr-FR" w:eastAsia="en-GB"/>
              </w:rPr>
              <w:t>483</w:t>
            </w:r>
          </w:p>
        </w:tc>
        <w:tc>
          <w:tcPr>
            <w:tcW w:w="850" w:type="dxa"/>
            <w:tcBorders>
              <w:top w:val="nil"/>
              <w:left w:val="nil"/>
              <w:bottom w:val="single" w:sz="8" w:space="0" w:color="9CC2E5"/>
              <w:right w:val="single" w:sz="8" w:space="0" w:color="9CC2E5"/>
            </w:tcBorders>
            <w:shd w:val="clear" w:color="auto" w:fill="auto"/>
            <w:vAlign w:val="center"/>
            <w:hideMark/>
          </w:tcPr>
          <w:p w14:paraId="47D9BCB1" w14:textId="77777777" w:rsidR="00476D60" w:rsidRPr="00BF1898" w:rsidRDefault="00476D60" w:rsidP="00F83B44">
            <w:pPr>
              <w:jc w:val="center"/>
              <w:rPr>
                <w:rFonts w:cs="Courier New"/>
                <w:b/>
                <w:bCs/>
                <w:sz w:val="18"/>
                <w:szCs w:val="18"/>
                <w:lang w:val="en-GB" w:eastAsia="en-GB"/>
              </w:rPr>
            </w:pPr>
            <w:r w:rsidRPr="00BF1898">
              <w:rPr>
                <w:rFonts w:cs="Arial"/>
                <w:b/>
                <w:bCs/>
                <w:sz w:val="18"/>
                <w:szCs w:val="18"/>
                <w:lang w:val="fr-FR" w:eastAsia="en-GB"/>
              </w:rPr>
              <w:t>150</w:t>
            </w:r>
          </w:p>
        </w:tc>
        <w:tc>
          <w:tcPr>
            <w:tcW w:w="993" w:type="dxa"/>
            <w:tcBorders>
              <w:top w:val="nil"/>
              <w:left w:val="nil"/>
              <w:bottom w:val="single" w:sz="8" w:space="0" w:color="9CC2E5"/>
              <w:right w:val="single" w:sz="8" w:space="0" w:color="9CC2E5"/>
            </w:tcBorders>
            <w:shd w:val="clear" w:color="auto" w:fill="auto"/>
            <w:vAlign w:val="center"/>
            <w:hideMark/>
          </w:tcPr>
          <w:p w14:paraId="0728B8E2" w14:textId="77777777" w:rsidR="00476D60" w:rsidRPr="00BF1898" w:rsidRDefault="00476D60" w:rsidP="00F83B44">
            <w:pPr>
              <w:jc w:val="center"/>
              <w:rPr>
                <w:rFonts w:cs="Courier New"/>
                <w:b/>
                <w:bCs/>
                <w:sz w:val="18"/>
                <w:szCs w:val="18"/>
                <w:lang w:val="en-GB" w:eastAsia="en-GB"/>
              </w:rPr>
            </w:pPr>
            <w:r w:rsidRPr="00BF1898">
              <w:rPr>
                <w:rFonts w:cs="Arial"/>
                <w:b/>
                <w:bCs/>
                <w:sz w:val="18"/>
                <w:szCs w:val="18"/>
                <w:lang w:val="fr-FR" w:eastAsia="en-GB"/>
              </w:rPr>
              <w:t>633</w:t>
            </w:r>
          </w:p>
        </w:tc>
        <w:tc>
          <w:tcPr>
            <w:tcW w:w="1081" w:type="dxa"/>
            <w:tcBorders>
              <w:top w:val="nil"/>
              <w:left w:val="nil"/>
              <w:bottom w:val="single" w:sz="8" w:space="0" w:color="9CC2E5"/>
              <w:right w:val="single" w:sz="8" w:space="0" w:color="9CC2E5"/>
            </w:tcBorders>
            <w:shd w:val="clear" w:color="auto" w:fill="auto"/>
            <w:vAlign w:val="center"/>
            <w:hideMark/>
          </w:tcPr>
          <w:p w14:paraId="40495CC4" w14:textId="77777777" w:rsidR="00476D60" w:rsidRPr="00BF1898" w:rsidRDefault="00476D60" w:rsidP="00F83B44">
            <w:pPr>
              <w:jc w:val="center"/>
              <w:rPr>
                <w:rFonts w:cs="Courier New"/>
                <w:b/>
                <w:bCs/>
                <w:sz w:val="18"/>
                <w:szCs w:val="18"/>
                <w:lang w:val="en-GB" w:eastAsia="en-GB"/>
              </w:rPr>
            </w:pPr>
            <w:r w:rsidRPr="00BF1898">
              <w:rPr>
                <w:rFonts w:cs="Arial"/>
                <w:b/>
                <w:bCs/>
                <w:sz w:val="18"/>
                <w:szCs w:val="18"/>
                <w:lang w:val="fr-FR" w:eastAsia="en-GB"/>
              </w:rPr>
              <w:t>1178</w:t>
            </w:r>
          </w:p>
        </w:tc>
        <w:tc>
          <w:tcPr>
            <w:tcW w:w="980" w:type="dxa"/>
            <w:tcBorders>
              <w:top w:val="nil"/>
              <w:left w:val="nil"/>
              <w:bottom w:val="single" w:sz="8" w:space="0" w:color="9CC2E5"/>
              <w:right w:val="single" w:sz="8" w:space="0" w:color="9CC2E5"/>
            </w:tcBorders>
            <w:shd w:val="clear" w:color="auto" w:fill="auto"/>
            <w:vAlign w:val="center"/>
            <w:hideMark/>
          </w:tcPr>
          <w:p w14:paraId="59789A8D" w14:textId="77777777" w:rsidR="00476D60" w:rsidRPr="00BF1898" w:rsidRDefault="00476D60" w:rsidP="00F83B44">
            <w:pPr>
              <w:jc w:val="center"/>
              <w:rPr>
                <w:rFonts w:cs="Courier New"/>
                <w:b/>
                <w:bCs/>
                <w:sz w:val="18"/>
                <w:szCs w:val="18"/>
                <w:lang w:val="en-GB" w:eastAsia="en-GB"/>
              </w:rPr>
            </w:pPr>
            <w:r w:rsidRPr="00BF1898">
              <w:rPr>
                <w:rFonts w:cs="Arial"/>
                <w:b/>
                <w:bCs/>
                <w:sz w:val="18"/>
                <w:szCs w:val="18"/>
                <w:lang w:val="fr-FR" w:eastAsia="en-GB"/>
              </w:rPr>
              <w:t>3961</w:t>
            </w:r>
          </w:p>
        </w:tc>
      </w:tr>
    </w:tbl>
    <w:p w14:paraId="331A58D2" w14:textId="77777777" w:rsidR="00476D60" w:rsidRDefault="00476D60" w:rsidP="00476D60">
      <w:pPr>
        <w:spacing w:after="120"/>
        <w:jc w:val="both"/>
        <w:rPr>
          <w:rFonts w:ascii="Arial" w:hAnsi="Arial" w:cs="Arial"/>
          <w:lang w:val="fr-FR"/>
        </w:rPr>
      </w:pPr>
    </w:p>
    <w:p w14:paraId="14CE306F" w14:textId="77777777" w:rsidR="00476D60" w:rsidRPr="00B63564" w:rsidRDefault="00476D60" w:rsidP="00476D60">
      <w:pPr>
        <w:spacing w:after="120"/>
        <w:jc w:val="both"/>
        <w:rPr>
          <w:rFonts w:ascii="Arial" w:hAnsi="Arial" w:cs="Arial"/>
          <w:lang w:val="fr-FR"/>
        </w:rPr>
      </w:pPr>
    </w:p>
    <w:p w14:paraId="4524C906" w14:textId="77777777" w:rsidR="00476D60" w:rsidRPr="00B63564" w:rsidRDefault="00476D60" w:rsidP="00476D60">
      <w:pPr>
        <w:spacing w:after="120"/>
        <w:jc w:val="both"/>
        <w:rPr>
          <w:rFonts w:ascii="Arial" w:hAnsi="Arial" w:cs="Arial"/>
          <w:lang w:val="fr-FR"/>
        </w:rPr>
      </w:pPr>
    </w:p>
    <w:p w14:paraId="2F40B596" w14:textId="77777777" w:rsidR="00476D60" w:rsidRPr="00B63564" w:rsidRDefault="00476D60" w:rsidP="00476D60">
      <w:pPr>
        <w:spacing w:after="120"/>
        <w:jc w:val="both"/>
        <w:rPr>
          <w:rFonts w:ascii="Arial" w:hAnsi="Arial" w:cs="Arial"/>
          <w:lang w:val="fr-FR"/>
        </w:rPr>
      </w:pPr>
      <w:r w:rsidRPr="00B63564">
        <w:rPr>
          <w:rFonts w:ascii="Arial" w:hAnsi="Arial" w:cs="Arial"/>
          <w:lang w:val="fr-FR"/>
        </w:rPr>
        <w:t>Le tableau suivant présente la répartition de l’échantillo</w:t>
      </w:r>
      <w:r>
        <w:rPr>
          <w:rFonts w:ascii="Arial" w:hAnsi="Arial" w:cs="Arial"/>
          <w:lang w:val="fr-FR"/>
        </w:rPr>
        <w:t>n selon les ZR et les milieux :</w:t>
      </w:r>
    </w:p>
    <w:tbl>
      <w:tblPr>
        <w:tblW w:w="10915" w:type="dxa"/>
        <w:tblInd w:w="-714" w:type="dxa"/>
        <w:tblLayout w:type="fixed"/>
        <w:tblLook w:val="04A0" w:firstRow="1" w:lastRow="0" w:firstColumn="1" w:lastColumn="0" w:noHBand="0" w:noVBand="1"/>
      </w:tblPr>
      <w:tblGrid>
        <w:gridCol w:w="1135"/>
        <w:gridCol w:w="1134"/>
        <w:gridCol w:w="850"/>
        <w:gridCol w:w="851"/>
        <w:gridCol w:w="850"/>
        <w:gridCol w:w="709"/>
        <w:gridCol w:w="850"/>
        <w:gridCol w:w="851"/>
        <w:gridCol w:w="1134"/>
        <w:gridCol w:w="850"/>
        <w:gridCol w:w="851"/>
        <w:gridCol w:w="850"/>
      </w:tblGrid>
      <w:tr w:rsidR="00476D60" w:rsidRPr="0098697D" w14:paraId="1FEFBBA9" w14:textId="77777777" w:rsidTr="00F83B44">
        <w:trPr>
          <w:trHeight w:val="516"/>
        </w:trPr>
        <w:tc>
          <w:tcPr>
            <w:tcW w:w="113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6082FD21"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DPS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1C35B953"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DS</w:t>
            </w:r>
          </w:p>
        </w:tc>
        <w:tc>
          <w:tcPr>
            <w:tcW w:w="850" w:type="dxa"/>
            <w:vMerge w:val="restart"/>
            <w:tcBorders>
              <w:top w:val="single" w:sz="4" w:space="0" w:color="auto"/>
              <w:left w:val="single" w:sz="4" w:space="0" w:color="auto"/>
              <w:bottom w:val="single" w:sz="4" w:space="0" w:color="auto"/>
              <w:right w:val="nil"/>
            </w:tcBorders>
            <w:shd w:val="clear" w:color="000000" w:fill="B4C6E7"/>
            <w:vAlign w:val="center"/>
            <w:hideMark/>
          </w:tcPr>
          <w:p w14:paraId="541372ED" w14:textId="77777777" w:rsidR="00476D60" w:rsidRPr="00BF1898" w:rsidRDefault="00476D60" w:rsidP="00F83B44">
            <w:pPr>
              <w:jc w:val="center"/>
              <w:rPr>
                <w:rFonts w:ascii="Calibri" w:hAnsi="Calibri" w:cs="Calibri"/>
                <w:b/>
                <w:bCs/>
                <w:color w:val="000000"/>
                <w:sz w:val="18"/>
                <w:szCs w:val="18"/>
                <w:lang w:val="en-GB" w:eastAsia="en-GB"/>
              </w:rPr>
            </w:pPr>
            <w:proofErr w:type="spellStart"/>
            <w:r w:rsidRPr="00BF1898">
              <w:rPr>
                <w:rFonts w:ascii="Calibri" w:hAnsi="Calibri" w:cs="Calibri"/>
                <w:b/>
                <w:bCs/>
                <w:color w:val="000000"/>
                <w:sz w:val="18"/>
                <w:szCs w:val="18"/>
                <w:lang w:val="en-GB" w:eastAsia="en-GB"/>
              </w:rPr>
              <w:t>Nombre</w:t>
            </w:r>
            <w:proofErr w:type="spellEnd"/>
            <w:r w:rsidRPr="00BF1898">
              <w:rPr>
                <w:rFonts w:ascii="Calibri" w:hAnsi="Calibri" w:cs="Calibri"/>
                <w:b/>
                <w:bCs/>
                <w:color w:val="000000"/>
                <w:sz w:val="18"/>
                <w:szCs w:val="18"/>
                <w:lang w:val="en-GB" w:eastAsia="en-GB"/>
              </w:rPr>
              <w:t xml:space="preserve"> de CS</w:t>
            </w:r>
          </w:p>
        </w:tc>
        <w:tc>
          <w:tcPr>
            <w:tcW w:w="3260" w:type="dxa"/>
            <w:gridSpan w:val="4"/>
            <w:tcBorders>
              <w:top w:val="single" w:sz="8" w:space="0" w:color="auto"/>
              <w:left w:val="single" w:sz="8" w:space="0" w:color="auto"/>
              <w:bottom w:val="single" w:sz="4" w:space="0" w:color="auto"/>
              <w:right w:val="single" w:sz="8" w:space="0" w:color="000000"/>
            </w:tcBorders>
            <w:shd w:val="clear" w:color="000000" w:fill="B4C6E7"/>
            <w:vAlign w:val="center"/>
            <w:hideMark/>
          </w:tcPr>
          <w:p w14:paraId="092CDCC5" w14:textId="77777777" w:rsidR="00476D60" w:rsidRPr="00BF1898" w:rsidRDefault="00476D60" w:rsidP="00F83B44">
            <w:pPr>
              <w:jc w:val="center"/>
              <w:rPr>
                <w:rFonts w:ascii="Calibri" w:hAnsi="Calibri" w:cs="Calibri"/>
                <w:b/>
                <w:bCs/>
                <w:color w:val="000000"/>
                <w:sz w:val="18"/>
                <w:szCs w:val="18"/>
                <w:lang w:val="fr-FR" w:eastAsia="en-GB"/>
              </w:rPr>
            </w:pPr>
            <w:r w:rsidRPr="00BF1898">
              <w:rPr>
                <w:rFonts w:ascii="Calibri" w:hAnsi="Calibri" w:cs="Calibri"/>
                <w:b/>
                <w:bCs/>
                <w:color w:val="000000"/>
                <w:sz w:val="18"/>
                <w:szCs w:val="18"/>
                <w:lang w:val="fr-FR" w:eastAsia="en-GB"/>
              </w:rPr>
              <w:t>Echantillon de CS selon le milieu</w:t>
            </w:r>
          </w:p>
        </w:tc>
        <w:tc>
          <w:tcPr>
            <w:tcW w:w="1985" w:type="dxa"/>
            <w:gridSpan w:val="2"/>
            <w:tcBorders>
              <w:top w:val="single" w:sz="8" w:space="0" w:color="auto"/>
              <w:left w:val="nil"/>
              <w:bottom w:val="single" w:sz="4" w:space="0" w:color="auto"/>
              <w:right w:val="single" w:sz="8" w:space="0" w:color="000000"/>
            </w:tcBorders>
            <w:shd w:val="clear" w:color="000000" w:fill="B4C6E7"/>
            <w:vAlign w:val="center"/>
            <w:hideMark/>
          </w:tcPr>
          <w:p w14:paraId="191E2FE9" w14:textId="77777777" w:rsidR="00476D60" w:rsidRPr="00BF1898" w:rsidRDefault="00476D60" w:rsidP="00F83B44">
            <w:pPr>
              <w:jc w:val="center"/>
              <w:rPr>
                <w:rFonts w:ascii="Calibri" w:hAnsi="Calibri" w:cs="Calibri"/>
                <w:b/>
                <w:bCs/>
                <w:color w:val="000000"/>
                <w:sz w:val="18"/>
                <w:szCs w:val="18"/>
                <w:lang w:val="fr-FR" w:eastAsia="en-GB"/>
              </w:rPr>
            </w:pPr>
            <w:r w:rsidRPr="00BF1898">
              <w:rPr>
                <w:rFonts w:ascii="Calibri" w:hAnsi="Calibri" w:cs="Calibri"/>
                <w:b/>
                <w:bCs/>
                <w:color w:val="000000"/>
                <w:sz w:val="18"/>
                <w:szCs w:val="18"/>
                <w:lang w:val="fr-FR" w:eastAsia="en-GB"/>
              </w:rPr>
              <w:t>Echantillon de villages selon le milieu</w:t>
            </w:r>
          </w:p>
        </w:tc>
        <w:tc>
          <w:tcPr>
            <w:tcW w:w="2551" w:type="dxa"/>
            <w:gridSpan w:val="3"/>
            <w:tcBorders>
              <w:top w:val="single" w:sz="8" w:space="0" w:color="auto"/>
              <w:left w:val="nil"/>
              <w:bottom w:val="single" w:sz="4" w:space="0" w:color="auto"/>
              <w:right w:val="single" w:sz="8" w:space="0" w:color="000000"/>
            </w:tcBorders>
            <w:shd w:val="clear" w:color="000000" w:fill="B4C6E7"/>
            <w:vAlign w:val="center"/>
            <w:hideMark/>
          </w:tcPr>
          <w:p w14:paraId="3620B5EB" w14:textId="77777777" w:rsidR="00476D60" w:rsidRPr="00BF1898" w:rsidRDefault="00476D60" w:rsidP="00F83B44">
            <w:pPr>
              <w:jc w:val="center"/>
              <w:rPr>
                <w:rFonts w:ascii="Calibri" w:hAnsi="Calibri" w:cs="Calibri"/>
                <w:b/>
                <w:bCs/>
                <w:color w:val="000000"/>
                <w:sz w:val="18"/>
                <w:szCs w:val="18"/>
                <w:lang w:val="fr-FR" w:eastAsia="en-GB"/>
              </w:rPr>
            </w:pPr>
            <w:r w:rsidRPr="00BF1898">
              <w:rPr>
                <w:rFonts w:ascii="Calibri" w:hAnsi="Calibri" w:cs="Calibri"/>
                <w:b/>
                <w:bCs/>
                <w:color w:val="000000"/>
                <w:sz w:val="18"/>
                <w:szCs w:val="18"/>
                <w:lang w:val="fr-FR" w:eastAsia="en-GB"/>
              </w:rPr>
              <w:t>Echantillon concessions selon le milieu</w:t>
            </w:r>
          </w:p>
        </w:tc>
      </w:tr>
      <w:tr w:rsidR="00476D60" w:rsidRPr="00BF1898" w14:paraId="41A4D1B3" w14:textId="77777777" w:rsidTr="00F83B44">
        <w:trPr>
          <w:trHeight w:val="411"/>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AFEFA37" w14:textId="77777777" w:rsidR="00476D60" w:rsidRPr="00BF1898" w:rsidRDefault="00476D60" w:rsidP="00F83B44">
            <w:pPr>
              <w:rPr>
                <w:rFonts w:ascii="Calibri" w:hAnsi="Calibri" w:cs="Calibri"/>
                <w:b/>
                <w:bCs/>
                <w:color w:val="000000"/>
                <w:sz w:val="18"/>
                <w:szCs w:val="18"/>
                <w:lang w:val="fr-FR"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D1F62F" w14:textId="77777777" w:rsidR="00476D60" w:rsidRPr="00BF1898" w:rsidRDefault="00476D60" w:rsidP="00F83B44">
            <w:pPr>
              <w:rPr>
                <w:rFonts w:ascii="Calibri" w:hAnsi="Calibri" w:cs="Calibri"/>
                <w:b/>
                <w:bCs/>
                <w:color w:val="000000"/>
                <w:sz w:val="18"/>
                <w:szCs w:val="18"/>
                <w:lang w:val="fr-FR" w:eastAsia="en-GB"/>
              </w:rPr>
            </w:pPr>
          </w:p>
        </w:tc>
        <w:tc>
          <w:tcPr>
            <w:tcW w:w="850" w:type="dxa"/>
            <w:vMerge/>
            <w:tcBorders>
              <w:top w:val="single" w:sz="4" w:space="0" w:color="auto"/>
              <w:left w:val="single" w:sz="4" w:space="0" w:color="auto"/>
              <w:bottom w:val="single" w:sz="4" w:space="0" w:color="auto"/>
              <w:right w:val="nil"/>
            </w:tcBorders>
            <w:vAlign w:val="center"/>
            <w:hideMark/>
          </w:tcPr>
          <w:p w14:paraId="3BDE399F" w14:textId="77777777" w:rsidR="00476D60" w:rsidRPr="00BF1898" w:rsidRDefault="00476D60" w:rsidP="00F83B44">
            <w:pPr>
              <w:rPr>
                <w:rFonts w:ascii="Calibri" w:hAnsi="Calibri" w:cs="Calibri"/>
                <w:b/>
                <w:bCs/>
                <w:color w:val="000000"/>
                <w:sz w:val="18"/>
                <w:szCs w:val="18"/>
                <w:lang w:val="fr-FR" w:eastAsia="en-GB"/>
              </w:rPr>
            </w:pPr>
          </w:p>
        </w:tc>
        <w:tc>
          <w:tcPr>
            <w:tcW w:w="851" w:type="dxa"/>
            <w:tcBorders>
              <w:top w:val="nil"/>
              <w:left w:val="single" w:sz="8" w:space="0" w:color="auto"/>
              <w:bottom w:val="single" w:sz="4" w:space="0" w:color="auto"/>
              <w:right w:val="single" w:sz="4" w:space="0" w:color="auto"/>
            </w:tcBorders>
            <w:shd w:val="clear" w:color="000000" w:fill="B4C6E7"/>
            <w:vAlign w:val="center"/>
            <w:hideMark/>
          </w:tcPr>
          <w:p w14:paraId="57556CB7"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Rural</w:t>
            </w:r>
          </w:p>
        </w:tc>
        <w:tc>
          <w:tcPr>
            <w:tcW w:w="850" w:type="dxa"/>
            <w:tcBorders>
              <w:top w:val="nil"/>
              <w:left w:val="nil"/>
              <w:bottom w:val="single" w:sz="4" w:space="0" w:color="auto"/>
              <w:right w:val="single" w:sz="4" w:space="0" w:color="auto"/>
            </w:tcBorders>
            <w:shd w:val="clear" w:color="000000" w:fill="B4C6E7"/>
            <w:vAlign w:val="center"/>
            <w:hideMark/>
          </w:tcPr>
          <w:p w14:paraId="03388E2A" w14:textId="77777777" w:rsidR="00476D60" w:rsidRPr="00BF1898" w:rsidRDefault="00476D60" w:rsidP="00F83B44">
            <w:pPr>
              <w:jc w:val="center"/>
              <w:rPr>
                <w:rFonts w:ascii="Calibri" w:hAnsi="Calibri" w:cs="Calibri"/>
                <w:b/>
                <w:bCs/>
                <w:color w:val="000000"/>
                <w:sz w:val="18"/>
                <w:szCs w:val="18"/>
                <w:lang w:val="en-GB" w:eastAsia="en-GB"/>
              </w:rPr>
            </w:pPr>
            <w:proofErr w:type="spellStart"/>
            <w:r w:rsidRPr="00BF1898">
              <w:rPr>
                <w:rFonts w:ascii="Calibri" w:hAnsi="Calibri" w:cs="Calibri"/>
                <w:b/>
                <w:bCs/>
                <w:color w:val="000000"/>
                <w:sz w:val="18"/>
                <w:szCs w:val="18"/>
                <w:lang w:val="en-GB" w:eastAsia="en-GB"/>
              </w:rPr>
              <w:t>Urbain</w:t>
            </w:r>
            <w:proofErr w:type="spellEnd"/>
          </w:p>
        </w:tc>
        <w:tc>
          <w:tcPr>
            <w:tcW w:w="709" w:type="dxa"/>
            <w:tcBorders>
              <w:top w:val="nil"/>
              <w:left w:val="nil"/>
              <w:bottom w:val="single" w:sz="4" w:space="0" w:color="auto"/>
              <w:right w:val="single" w:sz="8" w:space="0" w:color="auto"/>
            </w:tcBorders>
            <w:shd w:val="clear" w:color="000000" w:fill="B4C6E7"/>
            <w:vAlign w:val="center"/>
            <w:hideMark/>
          </w:tcPr>
          <w:p w14:paraId="2BB28107"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Total</w:t>
            </w:r>
          </w:p>
        </w:tc>
        <w:tc>
          <w:tcPr>
            <w:tcW w:w="850" w:type="dxa"/>
            <w:tcBorders>
              <w:top w:val="nil"/>
              <w:left w:val="nil"/>
              <w:bottom w:val="single" w:sz="4" w:space="0" w:color="auto"/>
              <w:right w:val="single" w:sz="4" w:space="0" w:color="auto"/>
            </w:tcBorders>
            <w:shd w:val="clear" w:color="000000" w:fill="B4C6E7"/>
            <w:vAlign w:val="center"/>
            <w:hideMark/>
          </w:tcPr>
          <w:p w14:paraId="7A0CC3FB"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Rural</w:t>
            </w:r>
          </w:p>
        </w:tc>
        <w:tc>
          <w:tcPr>
            <w:tcW w:w="851" w:type="dxa"/>
            <w:tcBorders>
              <w:top w:val="nil"/>
              <w:left w:val="nil"/>
              <w:bottom w:val="single" w:sz="4" w:space="0" w:color="auto"/>
              <w:right w:val="single" w:sz="4" w:space="0" w:color="auto"/>
            </w:tcBorders>
            <w:shd w:val="clear" w:color="000000" w:fill="B4C6E7"/>
            <w:vAlign w:val="center"/>
            <w:hideMark/>
          </w:tcPr>
          <w:p w14:paraId="56C76E3E" w14:textId="77777777" w:rsidR="00476D60" w:rsidRPr="00BF1898" w:rsidRDefault="00476D60" w:rsidP="00F83B44">
            <w:pPr>
              <w:jc w:val="center"/>
              <w:rPr>
                <w:rFonts w:ascii="Calibri" w:hAnsi="Calibri" w:cs="Calibri"/>
                <w:b/>
                <w:bCs/>
                <w:color w:val="000000"/>
                <w:sz w:val="18"/>
                <w:szCs w:val="18"/>
                <w:lang w:val="en-GB" w:eastAsia="en-GB"/>
              </w:rPr>
            </w:pPr>
            <w:proofErr w:type="spellStart"/>
            <w:r w:rsidRPr="00BF1898">
              <w:rPr>
                <w:rFonts w:ascii="Calibri" w:hAnsi="Calibri" w:cs="Calibri"/>
                <w:b/>
                <w:bCs/>
                <w:color w:val="000000"/>
                <w:sz w:val="18"/>
                <w:szCs w:val="18"/>
                <w:lang w:val="en-GB" w:eastAsia="en-GB"/>
              </w:rPr>
              <w:t>Urbain</w:t>
            </w:r>
            <w:proofErr w:type="spellEnd"/>
          </w:p>
        </w:tc>
        <w:tc>
          <w:tcPr>
            <w:tcW w:w="1134" w:type="dxa"/>
            <w:tcBorders>
              <w:top w:val="nil"/>
              <w:left w:val="nil"/>
              <w:bottom w:val="single" w:sz="4" w:space="0" w:color="auto"/>
              <w:right w:val="single" w:sz="8" w:space="0" w:color="auto"/>
            </w:tcBorders>
            <w:shd w:val="clear" w:color="000000" w:fill="B4C6E7"/>
            <w:vAlign w:val="center"/>
            <w:hideMark/>
          </w:tcPr>
          <w:p w14:paraId="3BDD1651"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Total</w:t>
            </w:r>
          </w:p>
        </w:tc>
        <w:tc>
          <w:tcPr>
            <w:tcW w:w="850" w:type="dxa"/>
            <w:tcBorders>
              <w:top w:val="nil"/>
              <w:left w:val="nil"/>
              <w:bottom w:val="single" w:sz="4" w:space="0" w:color="auto"/>
              <w:right w:val="single" w:sz="4" w:space="0" w:color="auto"/>
            </w:tcBorders>
            <w:shd w:val="clear" w:color="000000" w:fill="B4C6E7"/>
            <w:vAlign w:val="center"/>
            <w:hideMark/>
          </w:tcPr>
          <w:p w14:paraId="2BADFA71"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Rural</w:t>
            </w:r>
          </w:p>
        </w:tc>
        <w:tc>
          <w:tcPr>
            <w:tcW w:w="851" w:type="dxa"/>
            <w:tcBorders>
              <w:top w:val="nil"/>
              <w:left w:val="nil"/>
              <w:bottom w:val="single" w:sz="4" w:space="0" w:color="auto"/>
              <w:right w:val="single" w:sz="4" w:space="0" w:color="auto"/>
            </w:tcBorders>
            <w:shd w:val="clear" w:color="000000" w:fill="B4C6E7"/>
            <w:vAlign w:val="center"/>
            <w:hideMark/>
          </w:tcPr>
          <w:p w14:paraId="4C6D92CC" w14:textId="77777777" w:rsidR="00476D60" w:rsidRPr="00BF1898" w:rsidRDefault="00476D60" w:rsidP="00F83B44">
            <w:pPr>
              <w:jc w:val="center"/>
              <w:rPr>
                <w:rFonts w:ascii="Calibri" w:hAnsi="Calibri" w:cs="Calibri"/>
                <w:b/>
                <w:bCs/>
                <w:color w:val="000000"/>
                <w:sz w:val="18"/>
                <w:szCs w:val="18"/>
                <w:lang w:val="en-GB" w:eastAsia="en-GB"/>
              </w:rPr>
            </w:pPr>
            <w:proofErr w:type="spellStart"/>
            <w:r w:rsidRPr="00BF1898">
              <w:rPr>
                <w:rFonts w:ascii="Calibri" w:hAnsi="Calibri" w:cs="Calibri"/>
                <w:b/>
                <w:bCs/>
                <w:color w:val="000000"/>
                <w:sz w:val="18"/>
                <w:szCs w:val="18"/>
                <w:lang w:val="en-GB" w:eastAsia="en-GB"/>
              </w:rPr>
              <w:t>Urbain</w:t>
            </w:r>
            <w:proofErr w:type="spellEnd"/>
          </w:p>
        </w:tc>
        <w:tc>
          <w:tcPr>
            <w:tcW w:w="850" w:type="dxa"/>
            <w:tcBorders>
              <w:top w:val="nil"/>
              <w:left w:val="nil"/>
              <w:bottom w:val="single" w:sz="4" w:space="0" w:color="auto"/>
              <w:right w:val="single" w:sz="8" w:space="0" w:color="auto"/>
            </w:tcBorders>
            <w:shd w:val="clear" w:color="000000" w:fill="B4C6E7"/>
            <w:vAlign w:val="center"/>
            <w:hideMark/>
          </w:tcPr>
          <w:p w14:paraId="22A57C78"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Total</w:t>
            </w:r>
          </w:p>
        </w:tc>
      </w:tr>
      <w:tr w:rsidR="00476D60" w:rsidRPr="00BF1898" w14:paraId="0F32FD29" w14:textId="77777777" w:rsidTr="00F83B44">
        <w:trPr>
          <w:trHeight w:val="492"/>
        </w:trPr>
        <w:tc>
          <w:tcPr>
            <w:tcW w:w="11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0D8C27" w14:textId="77777777" w:rsidR="00476D60" w:rsidRPr="00BF1898" w:rsidRDefault="00476D60" w:rsidP="00F83B44">
            <w:pP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CHARI BAGUIRMI</w:t>
            </w:r>
          </w:p>
        </w:tc>
        <w:tc>
          <w:tcPr>
            <w:tcW w:w="1134" w:type="dxa"/>
            <w:tcBorders>
              <w:top w:val="nil"/>
              <w:left w:val="nil"/>
              <w:bottom w:val="single" w:sz="4" w:space="0" w:color="auto"/>
              <w:right w:val="single" w:sz="4" w:space="0" w:color="auto"/>
            </w:tcBorders>
            <w:shd w:val="clear" w:color="auto" w:fill="auto"/>
            <w:noWrap/>
            <w:vAlign w:val="center"/>
            <w:hideMark/>
          </w:tcPr>
          <w:p w14:paraId="01C6A2FE" w14:textId="77777777" w:rsidR="00476D60" w:rsidRPr="00BF1898" w:rsidRDefault="00476D60" w:rsidP="00F83B44">
            <w:pP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Ba-</w:t>
            </w:r>
            <w:proofErr w:type="spellStart"/>
            <w:r w:rsidRPr="00BF1898">
              <w:rPr>
                <w:rFonts w:ascii="Calibri" w:hAnsi="Calibri" w:cs="Calibri"/>
                <w:color w:val="000000"/>
                <w:sz w:val="18"/>
                <w:szCs w:val="18"/>
                <w:lang w:val="en-GB" w:eastAsia="en-GB"/>
              </w:rPr>
              <w:t>Illi</w:t>
            </w:r>
            <w:proofErr w:type="spellEnd"/>
          </w:p>
        </w:tc>
        <w:tc>
          <w:tcPr>
            <w:tcW w:w="850" w:type="dxa"/>
            <w:tcBorders>
              <w:top w:val="nil"/>
              <w:left w:val="nil"/>
              <w:bottom w:val="single" w:sz="4" w:space="0" w:color="auto"/>
              <w:right w:val="nil"/>
            </w:tcBorders>
            <w:shd w:val="clear" w:color="auto" w:fill="auto"/>
            <w:noWrap/>
            <w:vAlign w:val="center"/>
            <w:hideMark/>
          </w:tcPr>
          <w:p w14:paraId="3C679043"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11</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C1637B3"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w:t>
            </w:r>
          </w:p>
        </w:tc>
        <w:tc>
          <w:tcPr>
            <w:tcW w:w="850" w:type="dxa"/>
            <w:tcBorders>
              <w:top w:val="nil"/>
              <w:left w:val="nil"/>
              <w:bottom w:val="single" w:sz="4" w:space="0" w:color="auto"/>
              <w:right w:val="single" w:sz="4" w:space="0" w:color="auto"/>
            </w:tcBorders>
            <w:shd w:val="clear" w:color="auto" w:fill="auto"/>
            <w:noWrap/>
            <w:vAlign w:val="center"/>
            <w:hideMark/>
          </w:tcPr>
          <w:p w14:paraId="2B63CB4F"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2E7B6427"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0" w:type="dxa"/>
            <w:tcBorders>
              <w:top w:val="nil"/>
              <w:left w:val="nil"/>
              <w:bottom w:val="single" w:sz="4" w:space="0" w:color="auto"/>
              <w:right w:val="single" w:sz="4" w:space="0" w:color="auto"/>
            </w:tcBorders>
            <w:shd w:val="clear" w:color="auto" w:fill="auto"/>
            <w:noWrap/>
            <w:vAlign w:val="center"/>
            <w:hideMark/>
          </w:tcPr>
          <w:p w14:paraId="4EBDE676"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13</w:t>
            </w:r>
          </w:p>
        </w:tc>
        <w:tc>
          <w:tcPr>
            <w:tcW w:w="851" w:type="dxa"/>
            <w:tcBorders>
              <w:top w:val="nil"/>
              <w:left w:val="nil"/>
              <w:bottom w:val="single" w:sz="4" w:space="0" w:color="auto"/>
              <w:right w:val="single" w:sz="4" w:space="0" w:color="auto"/>
            </w:tcBorders>
            <w:shd w:val="clear" w:color="auto" w:fill="auto"/>
            <w:noWrap/>
            <w:vAlign w:val="center"/>
            <w:hideMark/>
          </w:tcPr>
          <w:p w14:paraId="663F22D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1F289A7A"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0" w:type="dxa"/>
            <w:tcBorders>
              <w:top w:val="nil"/>
              <w:left w:val="nil"/>
              <w:bottom w:val="single" w:sz="4" w:space="0" w:color="auto"/>
              <w:right w:val="single" w:sz="4" w:space="0" w:color="auto"/>
            </w:tcBorders>
            <w:shd w:val="clear" w:color="auto" w:fill="auto"/>
            <w:noWrap/>
            <w:vAlign w:val="center"/>
            <w:hideMark/>
          </w:tcPr>
          <w:p w14:paraId="73BB0446"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67</w:t>
            </w:r>
          </w:p>
        </w:tc>
        <w:tc>
          <w:tcPr>
            <w:tcW w:w="851" w:type="dxa"/>
            <w:tcBorders>
              <w:top w:val="nil"/>
              <w:left w:val="nil"/>
              <w:bottom w:val="single" w:sz="4" w:space="0" w:color="auto"/>
              <w:right w:val="single" w:sz="4" w:space="0" w:color="auto"/>
            </w:tcBorders>
            <w:shd w:val="clear" w:color="auto" w:fill="auto"/>
            <w:noWrap/>
            <w:vAlign w:val="center"/>
            <w:hideMark/>
          </w:tcPr>
          <w:p w14:paraId="689FD5F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56E0F565"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92</w:t>
            </w:r>
          </w:p>
        </w:tc>
      </w:tr>
      <w:tr w:rsidR="00476D60" w:rsidRPr="00BF1898" w14:paraId="2159EED7" w14:textId="77777777" w:rsidTr="00F83B44">
        <w:trPr>
          <w:trHeight w:val="300"/>
        </w:trPr>
        <w:tc>
          <w:tcPr>
            <w:tcW w:w="1135" w:type="dxa"/>
            <w:vMerge/>
            <w:tcBorders>
              <w:top w:val="nil"/>
              <w:left w:val="single" w:sz="4" w:space="0" w:color="auto"/>
              <w:bottom w:val="single" w:sz="4" w:space="0" w:color="auto"/>
              <w:right w:val="single" w:sz="4" w:space="0" w:color="auto"/>
            </w:tcBorders>
            <w:vAlign w:val="center"/>
            <w:hideMark/>
          </w:tcPr>
          <w:p w14:paraId="3226BCBA" w14:textId="77777777" w:rsidR="00476D60" w:rsidRPr="00BF1898" w:rsidRDefault="00476D60" w:rsidP="00F83B44">
            <w:pPr>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322F334" w14:textId="77777777" w:rsidR="00476D60" w:rsidRPr="00BF1898" w:rsidRDefault="00476D60" w:rsidP="00F83B44">
            <w:pP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Bousso</w:t>
            </w:r>
          </w:p>
        </w:tc>
        <w:tc>
          <w:tcPr>
            <w:tcW w:w="850" w:type="dxa"/>
            <w:tcBorders>
              <w:top w:val="nil"/>
              <w:left w:val="nil"/>
              <w:bottom w:val="single" w:sz="4" w:space="0" w:color="auto"/>
              <w:right w:val="nil"/>
            </w:tcBorders>
            <w:shd w:val="clear" w:color="auto" w:fill="auto"/>
            <w:noWrap/>
            <w:vAlign w:val="center"/>
            <w:hideMark/>
          </w:tcPr>
          <w:p w14:paraId="3ED8DE3E"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11</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0D2CDE3"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w:t>
            </w:r>
          </w:p>
        </w:tc>
        <w:tc>
          <w:tcPr>
            <w:tcW w:w="850" w:type="dxa"/>
            <w:tcBorders>
              <w:top w:val="nil"/>
              <w:left w:val="nil"/>
              <w:bottom w:val="single" w:sz="4" w:space="0" w:color="auto"/>
              <w:right w:val="single" w:sz="4" w:space="0" w:color="auto"/>
            </w:tcBorders>
            <w:shd w:val="clear" w:color="auto" w:fill="auto"/>
            <w:noWrap/>
            <w:vAlign w:val="center"/>
            <w:hideMark/>
          </w:tcPr>
          <w:p w14:paraId="52313D61"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460C89C1"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0" w:type="dxa"/>
            <w:tcBorders>
              <w:top w:val="nil"/>
              <w:left w:val="nil"/>
              <w:bottom w:val="single" w:sz="4" w:space="0" w:color="auto"/>
              <w:right w:val="single" w:sz="4" w:space="0" w:color="auto"/>
            </w:tcBorders>
            <w:shd w:val="clear" w:color="auto" w:fill="auto"/>
            <w:noWrap/>
            <w:vAlign w:val="center"/>
            <w:hideMark/>
          </w:tcPr>
          <w:p w14:paraId="6A0D90F2"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13</w:t>
            </w:r>
          </w:p>
        </w:tc>
        <w:tc>
          <w:tcPr>
            <w:tcW w:w="851" w:type="dxa"/>
            <w:tcBorders>
              <w:top w:val="nil"/>
              <w:left w:val="nil"/>
              <w:bottom w:val="single" w:sz="4" w:space="0" w:color="auto"/>
              <w:right w:val="single" w:sz="4" w:space="0" w:color="auto"/>
            </w:tcBorders>
            <w:shd w:val="clear" w:color="auto" w:fill="auto"/>
            <w:noWrap/>
            <w:vAlign w:val="center"/>
            <w:hideMark/>
          </w:tcPr>
          <w:p w14:paraId="257E79F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0019E1B6"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0" w:type="dxa"/>
            <w:tcBorders>
              <w:top w:val="nil"/>
              <w:left w:val="nil"/>
              <w:bottom w:val="single" w:sz="4" w:space="0" w:color="auto"/>
              <w:right w:val="single" w:sz="4" w:space="0" w:color="auto"/>
            </w:tcBorders>
            <w:shd w:val="clear" w:color="auto" w:fill="auto"/>
            <w:noWrap/>
            <w:vAlign w:val="center"/>
            <w:hideMark/>
          </w:tcPr>
          <w:p w14:paraId="7BF4A295"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67</w:t>
            </w:r>
          </w:p>
        </w:tc>
        <w:tc>
          <w:tcPr>
            <w:tcW w:w="851" w:type="dxa"/>
            <w:tcBorders>
              <w:top w:val="nil"/>
              <w:left w:val="nil"/>
              <w:bottom w:val="single" w:sz="4" w:space="0" w:color="auto"/>
              <w:right w:val="single" w:sz="4" w:space="0" w:color="auto"/>
            </w:tcBorders>
            <w:shd w:val="clear" w:color="auto" w:fill="auto"/>
            <w:noWrap/>
            <w:vAlign w:val="center"/>
            <w:hideMark/>
          </w:tcPr>
          <w:p w14:paraId="730E396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03BDBF2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92</w:t>
            </w:r>
          </w:p>
        </w:tc>
      </w:tr>
      <w:tr w:rsidR="00476D60" w:rsidRPr="00BF1898" w14:paraId="5BA536D1" w14:textId="77777777" w:rsidTr="00F83B44">
        <w:trPr>
          <w:trHeight w:val="351"/>
        </w:trPr>
        <w:tc>
          <w:tcPr>
            <w:tcW w:w="1135" w:type="dxa"/>
            <w:vMerge/>
            <w:tcBorders>
              <w:top w:val="nil"/>
              <w:left w:val="single" w:sz="4" w:space="0" w:color="auto"/>
              <w:bottom w:val="single" w:sz="4" w:space="0" w:color="auto"/>
              <w:right w:val="single" w:sz="4" w:space="0" w:color="auto"/>
            </w:tcBorders>
            <w:vAlign w:val="center"/>
            <w:hideMark/>
          </w:tcPr>
          <w:p w14:paraId="122C7B23" w14:textId="77777777" w:rsidR="00476D60" w:rsidRPr="00BF1898" w:rsidRDefault="00476D60" w:rsidP="00F83B44">
            <w:pPr>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F7C96B3" w14:textId="77777777" w:rsidR="00476D60" w:rsidRPr="00BF1898" w:rsidRDefault="00476D60" w:rsidP="00F83B44">
            <w:pPr>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Dourbali</w:t>
            </w:r>
            <w:proofErr w:type="spellEnd"/>
          </w:p>
        </w:tc>
        <w:tc>
          <w:tcPr>
            <w:tcW w:w="850" w:type="dxa"/>
            <w:tcBorders>
              <w:top w:val="nil"/>
              <w:left w:val="nil"/>
              <w:bottom w:val="single" w:sz="4" w:space="0" w:color="auto"/>
              <w:right w:val="nil"/>
            </w:tcBorders>
            <w:shd w:val="clear" w:color="auto" w:fill="auto"/>
            <w:noWrap/>
            <w:vAlign w:val="center"/>
            <w:hideMark/>
          </w:tcPr>
          <w:p w14:paraId="79AE3893"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BBD60A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850" w:type="dxa"/>
            <w:tcBorders>
              <w:top w:val="nil"/>
              <w:left w:val="nil"/>
              <w:bottom w:val="single" w:sz="4" w:space="0" w:color="auto"/>
              <w:right w:val="single" w:sz="4" w:space="0" w:color="auto"/>
            </w:tcBorders>
            <w:shd w:val="clear" w:color="auto" w:fill="auto"/>
            <w:noWrap/>
            <w:vAlign w:val="center"/>
            <w:hideMark/>
          </w:tcPr>
          <w:p w14:paraId="1B31CD3F"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609BB6E9"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14:paraId="50C4FE5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23</w:t>
            </w:r>
          </w:p>
        </w:tc>
        <w:tc>
          <w:tcPr>
            <w:tcW w:w="851" w:type="dxa"/>
            <w:tcBorders>
              <w:top w:val="nil"/>
              <w:left w:val="nil"/>
              <w:bottom w:val="single" w:sz="4" w:space="0" w:color="auto"/>
              <w:right w:val="single" w:sz="4" w:space="0" w:color="auto"/>
            </w:tcBorders>
            <w:shd w:val="clear" w:color="auto" w:fill="auto"/>
            <w:noWrap/>
            <w:vAlign w:val="center"/>
            <w:hideMark/>
          </w:tcPr>
          <w:p w14:paraId="305ED09C"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4075CB8F"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28</w:t>
            </w:r>
          </w:p>
        </w:tc>
        <w:tc>
          <w:tcPr>
            <w:tcW w:w="850" w:type="dxa"/>
            <w:tcBorders>
              <w:top w:val="nil"/>
              <w:left w:val="nil"/>
              <w:bottom w:val="single" w:sz="4" w:space="0" w:color="auto"/>
              <w:right w:val="single" w:sz="4" w:space="0" w:color="auto"/>
            </w:tcBorders>
            <w:shd w:val="clear" w:color="auto" w:fill="auto"/>
            <w:noWrap/>
            <w:vAlign w:val="center"/>
            <w:hideMark/>
          </w:tcPr>
          <w:p w14:paraId="020F1375"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117</w:t>
            </w:r>
          </w:p>
        </w:tc>
        <w:tc>
          <w:tcPr>
            <w:tcW w:w="851" w:type="dxa"/>
            <w:tcBorders>
              <w:top w:val="nil"/>
              <w:left w:val="nil"/>
              <w:bottom w:val="single" w:sz="4" w:space="0" w:color="auto"/>
              <w:right w:val="single" w:sz="4" w:space="0" w:color="auto"/>
            </w:tcBorders>
            <w:shd w:val="clear" w:color="auto" w:fill="auto"/>
            <w:noWrap/>
            <w:vAlign w:val="center"/>
            <w:hideMark/>
          </w:tcPr>
          <w:p w14:paraId="176A0F34"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5AD5EB0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142</w:t>
            </w:r>
          </w:p>
        </w:tc>
      </w:tr>
      <w:tr w:rsidR="00476D60" w:rsidRPr="00BF1898" w14:paraId="13BDE8D0" w14:textId="77777777" w:rsidTr="00F83B44">
        <w:trPr>
          <w:trHeight w:val="414"/>
        </w:trPr>
        <w:tc>
          <w:tcPr>
            <w:tcW w:w="1135" w:type="dxa"/>
            <w:vMerge/>
            <w:tcBorders>
              <w:top w:val="nil"/>
              <w:left w:val="single" w:sz="4" w:space="0" w:color="auto"/>
              <w:bottom w:val="single" w:sz="4" w:space="0" w:color="auto"/>
              <w:right w:val="single" w:sz="4" w:space="0" w:color="auto"/>
            </w:tcBorders>
            <w:vAlign w:val="center"/>
            <w:hideMark/>
          </w:tcPr>
          <w:p w14:paraId="6C34C544" w14:textId="77777777" w:rsidR="00476D60" w:rsidRPr="00BF1898" w:rsidRDefault="00476D60" w:rsidP="00F83B44">
            <w:pPr>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F80BDA3" w14:textId="77777777" w:rsidR="00476D60" w:rsidRPr="00BF1898" w:rsidRDefault="00476D60" w:rsidP="00F83B44">
            <w:pPr>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Mandelia</w:t>
            </w:r>
            <w:proofErr w:type="spellEnd"/>
          </w:p>
        </w:tc>
        <w:tc>
          <w:tcPr>
            <w:tcW w:w="850" w:type="dxa"/>
            <w:tcBorders>
              <w:top w:val="nil"/>
              <w:left w:val="nil"/>
              <w:bottom w:val="single" w:sz="4" w:space="0" w:color="auto"/>
              <w:right w:val="nil"/>
            </w:tcBorders>
            <w:shd w:val="clear" w:color="auto" w:fill="auto"/>
            <w:noWrap/>
            <w:vAlign w:val="center"/>
            <w:hideMark/>
          </w:tcPr>
          <w:p w14:paraId="48F7DA79"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21</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785400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14:paraId="7DF53D5A"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443FA17A"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7</w:t>
            </w:r>
          </w:p>
        </w:tc>
        <w:tc>
          <w:tcPr>
            <w:tcW w:w="850" w:type="dxa"/>
            <w:tcBorders>
              <w:top w:val="nil"/>
              <w:left w:val="nil"/>
              <w:bottom w:val="single" w:sz="4" w:space="0" w:color="auto"/>
              <w:right w:val="single" w:sz="4" w:space="0" w:color="auto"/>
            </w:tcBorders>
            <w:shd w:val="clear" w:color="auto" w:fill="auto"/>
            <w:noWrap/>
            <w:vAlign w:val="center"/>
            <w:hideMark/>
          </w:tcPr>
          <w:p w14:paraId="5822A1D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30</w:t>
            </w:r>
          </w:p>
        </w:tc>
        <w:tc>
          <w:tcPr>
            <w:tcW w:w="851" w:type="dxa"/>
            <w:tcBorders>
              <w:top w:val="nil"/>
              <w:left w:val="nil"/>
              <w:bottom w:val="single" w:sz="4" w:space="0" w:color="auto"/>
              <w:right w:val="single" w:sz="4" w:space="0" w:color="auto"/>
            </w:tcBorders>
            <w:shd w:val="clear" w:color="auto" w:fill="auto"/>
            <w:noWrap/>
            <w:vAlign w:val="center"/>
            <w:hideMark/>
          </w:tcPr>
          <w:p w14:paraId="43A834E9"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2702AD22"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35</w:t>
            </w:r>
          </w:p>
        </w:tc>
        <w:tc>
          <w:tcPr>
            <w:tcW w:w="850" w:type="dxa"/>
            <w:tcBorders>
              <w:top w:val="nil"/>
              <w:left w:val="nil"/>
              <w:bottom w:val="single" w:sz="4" w:space="0" w:color="auto"/>
              <w:right w:val="single" w:sz="4" w:space="0" w:color="auto"/>
            </w:tcBorders>
            <w:shd w:val="clear" w:color="auto" w:fill="auto"/>
            <w:noWrap/>
            <w:vAlign w:val="center"/>
            <w:hideMark/>
          </w:tcPr>
          <w:p w14:paraId="2CB8A6B4"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150</w:t>
            </w:r>
          </w:p>
        </w:tc>
        <w:tc>
          <w:tcPr>
            <w:tcW w:w="851" w:type="dxa"/>
            <w:tcBorders>
              <w:top w:val="nil"/>
              <w:left w:val="nil"/>
              <w:bottom w:val="single" w:sz="4" w:space="0" w:color="auto"/>
              <w:right w:val="single" w:sz="4" w:space="0" w:color="auto"/>
            </w:tcBorders>
            <w:shd w:val="clear" w:color="auto" w:fill="auto"/>
            <w:noWrap/>
            <w:vAlign w:val="center"/>
            <w:hideMark/>
          </w:tcPr>
          <w:p w14:paraId="42E00774"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278AD29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175</w:t>
            </w:r>
          </w:p>
        </w:tc>
      </w:tr>
      <w:tr w:rsidR="00476D60" w:rsidRPr="00BF1898" w14:paraId="2A966FB3" w14:textId="77777777" w:rsidTr="00F83B44">
        <w:trPr>
          <w:trHeight w:val="406"/>
        </w:trPr>
        <w:tc>
          <w:tcPr>
            <w:tcW w:w="1135" w:type="dxa"/>
            <w:vMerge/>
            <w:tcBorders>
              <w:top w:val="nil"/>
              <w:left w:val="single" w:sz="4" w:space="0" w:color="auto"/>
              <w:bottom w:val="single" w:sz="4" w:space="0" w:color="auto"/>
              <w:right w:val="single" w:sz="4" w:space="0" w:color="auto"/>
            </w:tcBorders>
            <w:vAlign w:val="center"/>
            <w:hideMark/>
          </w:tcPr>
          <w:p w14:paraId="779933FF" w14:textId="77777777" w:rsidR="00476D60" w:rsidRPr="00BF1898" w:rsidRDefault="00476D60" w:rsidP="00F83B44">
            <w:pPr>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B6CC5EE" w14:textId="77777777" w:rsidR="00476D60" w:rsidRPr="00BF1898" w:rsidRDefault="00476D60" w:rsidP="00F83B44">
            <w:pPr>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Massenya</w:t>
            </w:r>
            <w:proofErr w:type="spellEnd"/>
          </w:p>
        </w:tc>
        <w:tc>
          <w:tcPr>
            <w:tcW w:w="850" w:type="dxa"/>
            <w:tcBorders>
              <w:top w:val="nil"/>
              <w:left w:val="nil"/>
              <w:bottom w:val="single" w:sz="4" w:space="0" w:color="auto"/>
              <w:right w:val="nil"/>
            </w:tcBorders>
            <w:shd w:val="clear" w:color="auto" w:fill="auto"/>
            <w:noWrap/>
            <w:vAlign w:val="center"/>
            <w:hideMark/>
          </w:tcPr>
          <w:p w14:paraId="26F224E3"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27DE1BF"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850" w:type="dxa"/>
            <w:tcBorders>
              <w:top w:val="nil"/>
              <w:left w:val="nil"/>
              <w:bottom w:val="single" w:sz="4" w:space="0" w:color="auto"/>
              <w:right w:val="single" w:sz="4" w:space="0" w:color="auto"/>
            </w:tcBorders>
            <w:shd w:val="clear" w:color="auto" w:fill="auto"/>
            <w:noWrap/>
            <w:vAlign w:val="center"/>
            <w:hideMark/>
          </w:tcPr>
          <w:p w14:paraId="224A2897"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1203F84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14:paraId="3D58AA5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23</w:t>
            </w:r>
          </w:p>
        </w:tc>
        <w:tc>
          <w:tcPr>
            <w:tcW w:w="851" w:type="dxa"/>
            <w:tcBorders>
              <w:top w:val="nil"/>
              <w:left w:val="nil"/>
              <w:bottom w:val="single" w:sz="4" w:space="0" w:color="auto"/>
              <w:right w:val="single" w:sz="4" w:space="0" w:color="auto"/>
            </w:tcBorders>
            <w:shd w:val="clear" w:color="auto" w:fill="auto"/>
            <w:noWrap/>
            <w:vAlign w:val="center"/>
            <w:hideMark/>
          </w:tcPr>
          <w:p w14:paraId="0D8A95D5"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18A2CCE5"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28</w:t>
            </w:r>
          </w:p>
        </w:tc>
        <w:tc>
          <w:tcPr>
            <w:tcW w:w="850" w:type="dxa"/>
            <w:tcBorders>
              <w:top w:val="nil"/>
              <w:left w:val="nil"/>
              <w:bottom w:val="single" w:sz="4" w:space="0" w:color="auto"/>
              <w:right w:val="single" w:sz="4" w:space="0" w:color="auto"/>
            </w:tcBorders>
            <w:shd w:val="clear" w:color="auto" w:fill="auto"/>
            <w:noWrap/>
            <w:vAlign w:val="center"/>
            <w:hideMark/>
          </w:tcPr>
          <w:p w14:paraId="389B2FBA"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117</w:t>
            </w:r>
          </w:p>
        </w:tc>
        <w:tc>
          <w:tcPr>
            <w:tcW w:w="851" w:type="dxa"/>
            <w:tcBorders>
              <w:top w:val="nil"/>
              <w:left w:val="nil"/>
              <w:bottom w:val="single" w:sz="4" w:space="0" w:color="auto"/>
              <w:right w:val="single" w:sz="4" w:space="0" w:color="auto"/>
            </w:tcBorders>
            <w:shd w:val="clear" w:color="auto" w:fill="auto"/>
            <w:noWrap/>
            <w:vAlign w:val="center"/>
            <w:hideMark/>
          </w:tcPr>
          <w:p w14:paraId="3482D7CD"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1A9D9629"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142</w:t>
            </w:r>
          </w:p>
        </w:tc>
      </w:tr>
      <w:tr w:rsidR="00476D60" w:rsidRPr="00BF1898" w14:paraId="694F239E" w14:textId="77777777" w:rsidTr="00F83B44">
        <w:trPr>
          <w:trHeight w:val="425"/>
        </w:trPr>
        <w:tc>
          <w:tcPr>
            <w:tcW w:w="1135" w:type="dxa"/>
            <w:vMerge/>
            <w:tcBorders>
              <w:top w:val="nil"/>
              <w:left w:val="single" w:sz="4" w:space="0" w:color="auto"/>
              <w:bottom w:val="single" w:sz="4" w:space="0" w:color="auto"/>
              <w:right w:val="single" w:sz="4" w:space="0" w:color="auto"/>
            </w:tcBorders>
            <w:vAlign w:val="center"/>
            <w:hideMark/>
          </w:tcPr>
          <w:p w14:paraId="6847E078" w14:textId="77777777" w:rsidR="00476D60" w:rsidRPr="00BF1898" w:rsidRDefault="00476D60" w:rsidP="00F83B44">
            <w:pPr>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287B4F82" w14:textId="77777777" w:rsidR="00476D60" w:rsidRPr="00BF1898" w:rsidRDefault="00476D60" w:rsidP="00F83B44">
            <w:pPr>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Kouno</w:t>
            </w:r>
            <w:proofErr w:type="spellEnd"/>
          </w:p>
        </w:tc>
        <w:tc>
          <w:tcPr>
            <w:tcW w:w="850" w:type="dxa"/>
            <w:tcBorders>
              <w:top w:val="nil"/>
              <w:left w:val="nil"/>
              <w:bottom w:val="single" w:sz="4" w:space="0" w:color="auto"/>
              <w:right w:val="nil"/>
            </w:tcBorders>
            <w:shd w:val="clear" w:color="auto" w:fill="auto"/>
            <w:noWrap/>
            <w:vAlign w:val="center"/>
            <w:hideMark/>
          </w:tcPr>
          <w:p w14:paraId="1DA607FE"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58D65F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0</w:t>
            </w:r>
          </w:p>
        </w:tc>
        <w:tc>
          <w:tcPr>
            <w:tcW w:w="850" w:type="dxa"/>
            <w:tcBorders>
              <w:top w:val="nil"/>
              <w:left w:val="nil"/>
              <w:bottom w:val="single" w:sz="4" w:space="0" w:color="auto"/>
              <w:right w:val="single" w:sz="4" w:space="0" w:color="auto"/>
            </w:tcBorders>
            <w:shd w:val="clear" w:color="auto" w:fill="auto"/>
            <w:noWrap/>
            <w:vAlign w:val="center"/>
            <w:hideMark/>
          </w:tcPr>
          <w:p w14:paraId="1C8E0555"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0F6F5BBC"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850" w:type="dxa"/>
            <w:tcBorders>
              <w:top w:val="nil"/>
              <w:left w:val="nil"/>
              <w:bottom w:val="single" w:sz="4" w:space="0" w:color="auto"/>
              <w:right w:val="single" w:sz="4" w:space="0" w:color="auto"/>
            </w:tcBorders>
            <w:shd w:val="clear" w:color="auto" w:fill="auto"/>
            <w:noWrap/>
            <w:vAlign w:val="center"/>
            <w:hideMark/>
          </w:tcPr>
          <w:p w14:paraId="3E1EE435"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w:t>
            </w:r>
          </w:p>
        </w:tc>
        <w:tc>
          <w:tcPr>
            <w:tcW w:w="851" w:type="dxa"/>
            <w:tcBorders>
              <w:top w:val="nil"/>
              <w:left w:val="nil"/>
              <w:bottom w:val="single" w:sz="4" w:space="0" w:color="auto"/>
              <w:right w:val="single" w:sz="4" w:space="0" w:color="auto"/>
            </w:tcBorders>
            <w:shd w:val="clear" w:color="auto" w:fill="auto"/>
            <w:noWrap/>
            <w:vAlign w:val="center"/>
            <w:hideMark/>
          </w:tcPr>
          <w:p w14:paraId="4225A5D6"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3957E1C1"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7</w:t>
            </w:r>
          </w:p>
        </w:tc>
        <w:tc>
          <w:tcPr>
            <w:tcW w:w="850" w:type="dxa"/>
            <w:tcBorders>
              <w:top w:val="nil"/>
              <w:left w:val="nil"/>
              <w:bottom w:val="single" w:sz="4" w:space="0" w:color="auto"/>
              <w:right w:val="single" w:sz="4" w:space="0" w:color="auto"/>
            </w:tcBorders>
            <w:shd w:val="clear" w:color="auto" w:fill="auto"/>
            <w:noWrap/>
            <w:vAlign w:val="center"/>
            <w:hideMark/>
          </w:tcPr>
          <w:p w14:paraId="7B7C68E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8</w:t>
            </w:r>
          </w:p>
        </w:tc>
        <w:tc>
          <w:tcPr>
            <w:tcW w:w="851" w:type="dxa"/>
            <w:tcBorders>
              <w:top w:val="nil"/>
              <w:left w:val="nil"/>
              <w:bottom w:val="single" w:sz="4" w:space="0" w:color="auto"/>
              <w:right w:val="single" w:sz="4" w:space="0" w:color="auto"/>
            </w:tcBorders>
            <w:shd w:val="clear" w:color="auto" w:fill="auto"/>
            <w:noWrap/>
            <w:vAlign w:val="center"/>
            <w:hideMark/>
          </w:tcPr>
          <w:p w14:paraId="6ED04951"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479990A7"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33</w:t>
            </w:r>
          </w:p>
        </w:tc>
      </w:tr>
      <w:tr w:rsidR="00476D60" w:rsidRPr="00BF1898" w14:paraId="51E4D2B7" w14:textId="77777777" w:rsidTr="00F83B44">
        <w:trPr>
          <w:trHeight w:val="404"/>
        </w:trPr>
        <w:tc>
          <w:tcPr>
            <w:tcW w:w="11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165325"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HADJER LAMIS</w:t>
            </w:r>
          </w:p>
        </w:tc>
        <w:tc>
          <w:tcPr>
            <w:tcW w:w="1134" w:type="dxa"/>
            <w:tcBorders>
              <w:top w:val="nil"/>
              <w:left w:val="nil"/>
              <w:bottom w:val="single" w:sz="4" w:space="0" w:color="auto"/>
              <w:right w:val="single" w:sz="4" w:space="0" w:color="auto"/>
            </w:tcBorders>
            <w:shd w:val="clear" w:color="auto" w:fill="auto"/>
            <w:noWrap/>
            <w:vAlign w:val="center"/>
            <w:hideMark/>
          </w:tcPr>
          <w:p w14:paraId="1F8077C1" w14:textId="77777777" w:rsidR="00476D60" w:rsidRPr="00BF1898" w:rsidRDefault="00476D60" w:rsidP="00F83B44">
            <w:pPr>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Bokoro</w:t>
            </w:r>
            <w:proofErr w:type="spellEnd"/>
          </w:p>
        </w:tc>
        <w:tc>
          <w:tcPr>
            <w:tcW w:w="850" w:type="dxa"/>
            <w:tcBorders>
              <w:top w:val="nil"/>
              <w:left w:val="nil"/>
              <w:bottom w:val="single" w:sz="4" w:space="0" w:color="auto"/>
              <w:right w:val="nil"/>
            </w:tcBorders>
            <w:shd w:val="clear" w:color="auto" w:fill="auto"/>
            <w:noWrap/>
            <w:vAlign w:val="center"/>
            <w:hideMark/>
          </w:tcPr>
          <w:p w14:paraId="1E7EDB44"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26</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3AE835E"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8</w:t>
            </w:r>
          </w:p>
        </w:tc>
        <w:tc>
          <w:tcPr>
            <w:tcW w:w="850" w:type="dxa"/>
            <w:tcBorders>
              <w:top w:val="nil"/>
              <w:left w:val="nil"/>
              <w:bottom w:val="single" w:sz="4" w:space="0" w:color="auto"/>
              <w:right w:val="single" w:sz="4" w:space="0" w:color="auto"/>
            </w:tcBorders>
            <w:shd w:val="clear" w:color="auto" w:fill="auto"/>
            <w:noWrap/>
            <w:vAlign w:val="center"/>
            <w:hideMark/>
          </w:tcPr>
          <w:p w14:paraId="58F26172"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65914A5F"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9</w:t>
            </w:r>
          </w:p>
        </w:tc>
        <w:tc>
          <w:tcPr>
            <w:tcW w:w="850" w:type="dxa"/>
            <w:tcBorders>
              <w:top w:val="nil"/>
              <w:left w:val="nil"/>
              <w:bottom w:val="single" w:sz="4" w:space="0" w:color="auto"/>
              <w:right w:val="single" w:sz="4" w:space="0" w:color="auto"/>
            </w:tcBorders>
            <w:shd w:val="clear" w:color="auto" w:fill="auto"/>
            <w:noWrap/>
            <w:vAlign w:val="center"/>
            <w:hideMark/>
          </w:tcPr>
          <w:p w14:paraId="11DF174D"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38</w:t>
            </w:r>
          </w:p>
        </w:tc>
        <w:tc>
          <w:tcPr>
            <w:tcW w:w="851" w:type="dxa"/>
            <w:tcBorders>
              <w:top w:val="nil"/>
              <w:left w:val="nil"/>
              <w:bottom w:val="single" w:sz="4" w:space="0" w:color="auto"/>
              <w:right w:val="single" w:sz="4" w:space="0" w:color="auto"/>
            </w:tcBorders>
            <w:shd w:val="clear" w:color="auto" w:fill="auto"/>
            <w:noWrap/>
            <w:vAlign w:val="center"/>
            <w:hideMark/>
          </w:tcPr>
          <w:p w14:paraId="368D90F5"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6FFED261"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43</w:t>
            </w:r>
          </w:p>
        </w:tc>
        <w:tc>
          <w:tcPr>
            <w:tcW w:w="850" w:type="dxa"/>
            <w:tcBorders>
              <w:top w:val="nil"/>
              <w:left w:val="nil"/>
              <w:bottom w:val="single" w:sz="4" w:space="0" w:color="auto"/>
              <w:right w:val="single" w:sz="4" w:space="0" w:color="auto"/>
            </w:tcBorders>
            <w:shd w:val="clear" w:color="auto" w:fill="auto"/>
            <w:noWrap/>
            <w:vAlign w:val="center"/>
            <w:hideMark/>
          </w:tcPr>
          <w:p w14:paraId="1DD9C91A"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192</w:t>
            </w:r>
          </w:p>
        </w:tc>
        <w:tc>
          <w:tcPr>
            <w:tcW w:w="851" w:type="dxa"/>
            <w:tcBorders>
              <w:top w:val="nil"/>
              <w:left w:val="nil"/>
              <w:bottom w:val="single" w:sz="4" w:space="0" w:color="auto"/>
              <w:right w:val="single" w:sz="4" w:space="0" w:color="auto"/>
            </w:tcBorders>
            <w:shd w:val="clear" w:color="auto" w:fill="auto"/>
            <w:noWrap/>
            <w:vAlign w:val="center"/>
            <w:hideMark/>
          </w:tcPr>
          <w:p w14:paraId="4704B9A5"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1B52C88F"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217</w:t>
            </w:r>
          </w:p>
        </w:tc>
      </w:tr>
      <w:tr w:rsidR="00476D60" w:rsidRPr="00BF1898" w14:paraId="5026E374" w14:textId="77777777" w:rsidTr="00F83B44">
        <w:trPr>
          <w:trHeight w:val="288"/>
        </w:trPr>
        <w:tc>
          <w:tcPr>
            <w:tcW w:w="1135" w:type="dxa"/>
            <w:vMerge/>
            <w:tcBorders>
              <w:top w:val="nil"/>
              <w:left w:val="single" w:sz="4" w:space="0" w:color="auto"/>
              <w:bottom w:val="single" w:sz="4" w:space="0" w:color="auto"/>
              <w:right w:val="single" w:sz="4" w:space="0" w:color="auto"/>
            </w:tcBorders>
            <w:vAlign w:val="center"/>
            <w:hideMark/>
          </w:tcPr>
          <w:p w14:paraId="52749C3B" w14:textId="77777777" w:rsidR="00476D60" w:rsidRPr="00BF1898" w:rsidRDefault="00476D60" w:rsidP="00F83B44">
            <w:pPr>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E9A76E6" w14:textId="77777777" w:rsidR="00476D60" w:rsidRPr="00BF1898" w:rsidRDefault="00476D60" w:rsidP="00F83B44">
            <w:pP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Gama</w:t>
            </w:r>
          </w:p>
        </w:tc>
        <w:tc>
          <w:tcPr>
            <w:tcW w:w="850" w:type="dxa"/>
            <w:tcBorders>
              <w:top w:val="nil"/>
              <w:left w:val="nil"/>
              <w:bottom w:val="single" w:sz="4" w:space="0" w:color="auto"/>
              <w:right w:val="nil"/>
            </w:tcBorders>
            <w:shd w:val="clear" w:color="auto" w:fill="auto"/>
            <w:noWrap/>
            <w:vAlign w:val="center"/>
            <w:hideMark/>
          </w:tcPr>
          <w:p w14:paraId="66D02BDF"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9</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B2FED71"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w:t>
            </w:r>
          </w:p>
        </w:tc>
        <w:tc>
          <w:tcPr>
            <w:tcW w:w="850" w:type="dxa"/>
            <w:tcBorders>
              <w:top w:val="nil"/>
              <w:left w:val="nil"/>
              <w:bottom w:val="single" w:sz="4" w:space="0" w:color="auto"/>
              <w:right w:val="single" w:sz="4" w:space="0" w:color="auto"/>
            </w:tcBorders>
            <w:shd w:val="clear" w:color="auto" w:fill="auto"/>
            <w:noWrap/>
            <w:vAlign w:val="center"/>
            <w:hideMark/>
          </w:tcPr>
          <w:p w14:paraId="58B4E35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2E81570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w:t>
            </w:r>
          </w:p>
        </w:tc>
        <w:tc>
          <w:tcPr>
            <w:tcW w:w="850" w:type="dxa"/>
            <w:tcBorders>
              <w:top w:val="nil"/>
              <w:left w:val="nil"/>
              <w:bottom w:val="single" w:sz="4" w:space="0" w:color="auto"/>
              <w:right w:val="single" w:sz="4" w:space="0" w:color="auto"/>
            </w:tcBorders>
            <w:shd w:val="clear" w:color="auto" w:fill="auto"/>
            <w:noWrap/>
            <w:vAlign w:val="center"/>
            <w:hideMark/>
          </w:tcPr>
          <w:p w14:paraId="32F518D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10</w:t>
            </w:r>
          </w:p>
        </w:tc>
        <w:tc>
          <w:tcPr>
            <w:tcW w:w="851" w:type="dxa"/>
            <w:tcBorders>
              <w:top w:val="nil"/>
              <w:left w:val="nil"/>
              <w:bottom w:val="single" w:sz="4" w:space="0" w:color="auto"/>
              <w:right w:val="single" w:sz="4" w:space="0" w:color="auto"/>
            </w:tcBorders>
            <w:shd w:val="clear" w:color="auto" w:fill="auto"/>
            <w:noWrap/>
            <w:vAlign w:val="center"/>
            <w:hideMark/>
          </w:tcPr>
          <w:p w14:paraId="7FC5B8E7"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5F5371D9"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15</w:t>
            </w:r>
          </w:p>
        </w:tc>
        <w:tc>
          <w:tcPr>
            <w:tcW w:w="850" w:type="dxa"/>
            <w:tcBorders>
              <w:top w:val="nil"/>
              <w:left w:val="nil"/>
              <w:bottom w:val="single" w:sz="4" w:space="0" w:color="auto"/>
              <w:right w:val="single" w:sz="4" w:space="0" w:color="auto"/>
            </w:tcBorders>
            <w:shd w:val="clear" w:color="auto" w:fill="auto"/>
            <w:noWrap/>
            <w:vAlign w:val="center"/>
            <w:hideMark/>
          </w:tcPr>
          <w:p w14:paraId="1F437C75"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50</w:t>
            </w:r>
          </w:p>
        </w:tc>
        <w:tc>
          <w:tcPr>
            <w:tcW w:w="851" w:type="dxa"/>
            <w:tcBorders>
              <w:top w:val="nil"/>
              <w:left w:val="nil"/>
              <w:bottom w:val="single" w:sz="4" w:space="0" w:color="auto"/>
              <w:right w:val="single" w:sz="4" w:space="0" w:color="auto"/>
            </w:tcBorders>
            <w:shd w:val="clear" w:color="auto" w:fill="auto"/>
            <w:noWrap/>
            <w:vAlign w:val="center"/>
            <w:hideMark/>
          </w:tcPr>
          <w:p w14:paraId="7B0A5A2F"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5732BA6E"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75</w:t>
            </w:r>
          </w:p>
        </w:tc>
      </w:tr>
      <w:tr w:rsidR="00476D60" w:rsidRPr="00BF1898" w14:paraId="1460B493" w14:textId="77777777" w:rsidTr="00F83B44">
        <w:trPr>
          <w:trHeight w:val="288"/>
        </w:trPr>
        <w:tc>
          <w:tcPr>
            <w:tcW w:w="1135" w:type="dxa"/>
            <w:vMerge/>
            <w:tcBorders>
              <w:top w:val="nil"/>
              <w:left w:val="single" w:sz="4" w:space="0" w:color="auto"/>
              <w:bottom w:val="single" w:sz="4" w:space="0" w:color="auto"/>
              <w:right w:val="single" w:sz="4" w:space="0" w:color="auto"/>
            </w:tcBorders>
            <w:vAlign w:val="center"/>
            <w:hideMark/>
          </w:tcPr>
          <w:p w14:paraId="7EF0BCA4" w14:textId="77777777" w:rsidR="00476D60" w:rsidRPr="00BF1898" w:rsidRDefault="00476D60" w:rsidP="00F83B44">
            <w:pPr>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481E82B" w14:textId="77777777" w:rsidR="00476D60" w:rsidRPr="00BF1898" w:rsidRDefault="00476D60" w:rsidP="00F83B44">
            <w:pPr>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Karal</w:t>
            </w:r>
            <w:proofErr w:type="spellEnd"/>
          </w:p>
        </w:tc>
        <w:tc>
          <w:tcPr>
            <w:tcW w:w="850" w:type="dxa"/>
            <w:tcBorders>
              <w:top w:val="nil"/>
              <w:left w:val="nil"/>
              <w:bottom w:val="single" w:sz="4" w:space="0" w:color="auto"/>
              <w:right w:val="nil"/>
            </w:tcBorders>
            <w:shd w:val="clear" w:color="auto" w:fill="auto"/>
            <w:noWrap/>
            <w:vAlign w:val="center"/>
            <w:hideMark/>
          </w:tcPr>
          <w:p w14:paraId="36B4BEE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13</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F0D1C9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w:t>
            </w:r>
          </w:p>
        </w:tc>
        <w:tc>
          <w:tcPr>
            <w:tcW w:w="850" w:type="dxa"/>
            <w:tcBorders>
              <w:top w:val="nil"/>
              <w:left w:val="nil"/>
              <w:bottom w:val="single" w:sz="4" w:space="0" w:color="auto"/>
              <w:right w:val="single" w:sz="4" w:space="0" w:color="auto"/>
            </w:tcBorders>
            <w:shd w:val="clear" w:color="auto" w:fill="auto"/>
            <w:noWrap/>
            <w:vAlign w:val="center"/>
            <w:hideMark/>
          </w:tcPr>
          <w:p w14:paraId="450F3AFA"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74566C66"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0" w:type="dxa"/>
            <w:tcBorders>
              <w:top w:val="nil"/>
              <w:left w:val="nil"/>
              <w:bottom w:val="single" w:sz="4" w:space="0" w:color="auto"/>
              <w:right w:val="single" w:sz="4" w:space="0" w:color="auto"/>
            </w:tcBorders>
            <w:shd w:val="clear" w:color="auto" w:fill="auto"/>
            <w:noWrap/>
            <w:vAlign w:val="center"/>
            <w:hideMark/>
          </w:tcPr>
          <w:p w14:paraId="32896E41"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w:t>
            </w:r>
          </w:p>
        </w:tc>
        <w:tc>
          <w:tcPr>
            <w:tcW w:w="851" w:type="dxa"/>
            <w:tcBorders>
              <w:top w:val="nil"/>
              <w:left w:val="nil"/>
              <w:bottom w:val="single" w:sz="4" w:space="0" w:color="auto"/>
              <w:right w:val="single" w:sz="4" w:space="0" w:color="auto"/>
            </w:tcBorders>
            <w:shd w:val="clear" w:color="auto" w:fill="auto"/>
            <w:noWrap/>
            <w:vAlign w:val="center"/>
            <w:hideMark/>
          </w:tcPr>
          <w:p w14:paraId="5D578E5A"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02FCEB44"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22</w:t>
            </w:r>
          </w:p>
        </w:tc>
        <w:tc>
          <w:tcPr>
            <w:tcW w:w="850" w:type="dxa"/>
            <w:tcBorders>
              <w:top w:val="nil"/>
              <w:left w:val="nil"/>
              <w:bottom w:val="single" w:sz="4" w:space="0" w:color="auto"/>
              <w:right w:val="single" w:sz="4" w:space="0" w:color="auto"/>
            </w:tcBorders>
            <w:shd w:val="clear" w:color="auto" w:fill="auto"/>
            <w:noWrap/>
            <w:vAlign w:val="center"/>
            <w:hideMark/>
          </w:tcPr>
          <w:p w14:paraId="3BDA37A4"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83</w:t>
            </w:r>
          </w:p>
        </w:tc>
        <w:tc>
          <w:tcPr>
            <w:tcW w:w="851" w:type="dxa"/>
            <w:tcBorders>
              <w:top w:val="nil"/>
              <w:left w:val="nil"/>
              <w:bottom w:val="single" w:sz="4" w:space="0" w:color="auto"/>
              <w:right w:val="single" w:sz="4" w:space="0" w:color="auto"/>
            </w:tcBorders>
            <w:shd w:val="clear" w:color="auto" w:fill="auto"/>
            <w:noWrap/>
            <w:vAlign w:val="center"/>
            <w:hideMark/>
          </w:tcPr>
          <w:p w14:paraId="3D95614D"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26C2A5D5"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108</w:t>
            </w:r>
          </w:p>
        </w:tc>
      </w:tr>
      <w:tr w:rsidR="00476D60" w:rsidRPr="00BF1898" w14:paraId="3F1B819B" w14:textId="77777777" w:rsidTr="00F83B44">
        <w:trPr>
          <w:trHeight w:val="288"/>
        </w:trPr>
        <w:tc>
          <w:tcPr>
            <w:tcW w:w="1135" w:type="dxa"/>
            <w:vMerge/>
            <w:tcBorders>
              <w:top w:val="nil"/>
              <w:left w:val="single" w:sz="4" w:space="0" w:color="auto"/>
              <w:bottom w:val="single" w:sz="4" w:space="0" w:color="auto"/>
              <w:right w:val="single" w:sz="4" w:space="0" w:color="auto"/>
            </w:tcBorders>
            <w:vAlign w:val="center"/>
            <w:hideMark/>
          </w:tcPr>
          <w:p w14:paraId="5CFC16DC" w14:textId="77777777" w:rsidR="00476D60" w:rsidRPr="00BF1898" w:rsidRDefault="00476D60" w:rsidP="00F83B44">
            <w:pPr>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4E05DD3F" w14:textId="77777777" w:rsidR="00476D60" w:rsidRPr="00BF1898" w:rsidRDefault="00476D60" w:rsidP="00F83B44">
            <w:pP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Mani</w:t>
            </w:r>
          </w:p>
        </w:tc>
        <w:tc>
          <w:tcPr>
            <w:tcW w:w="850" w:type="dxa"/>
            <w:tcBorders>
              <w:top w:val="nil"/>
              <w:left w:val="nil"/>
              <w:bottom w:val="single" w:sz="4" w:space="0" w:color="auto"/>
              <w:right w:val="nil"/>
            </w:tcBorders>
            <w:shd w:val="clear" w:color="auto" w:fill="auto"/>
            <w:noWrap/>
            <w:vAlign w:val="center"/>
            <w:hideMark/>
          </w:tcPr>
          <w:p w14:paraId="5205A63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14</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DC7184D"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0" w:type="dxa"/>
            <w:tcBorders>
              <w:top w:val="nil"/>
              <w:left w:val="nil"/>
              <w:bottom w:val="single" w:sz="4" w:space="0" w:color="auto"/>
              <w:right w:val="single" w:sz="4" w:space="0" w:color="auto"/>
            </w:tcBorders>
            <w:shd w:val="clear" w:color="auto" w:fill="auto"/>
            <w:noWrap/>
            <w:vAlign w:val="center"/>
            <w:hideMark/>
          </w:tcPr>
          <w:p w14:paraId="19FC06E9"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74A1D05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850" w:type="dxa"/>
            <w:tcBorders>
              <w:top w:val="nil"/>
              <w:left w:val="nil"/>
              <w:bottom w:val="single" w:sz="4" w:space="0" w:color="auto"/>
              <w:right w:val="single" w:sz="4" w:space="0" w:color="auto"/>
            </w:tcBorders>
            <w:shd w:val="clear" w:color="auto" w:fill="auto"/>
            <w:noWrap/>
            <w:vAlign w:val="center"/>
            <w:hideMark/>
          </w:tcPr>
          <w:p w14:paraId="7EC18BB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1" w:type="dxa"/>
            <w:tcBorders>
              <w:top w:val="nil"/>
              <w:left w:val="nil"/>
              <w:bottom w:val="single" w:sz="4" w:space="0" w:color="auto"/>
              <w:right w:val="single" w:sz="4" w:space="0" w:color="auto"/>
            </w:tcBorders>
            <w:shd w:val="clear" w:color="auto" w:fill="auto"/>
            <w:noWrap/>
            <w:vAlign w:val="center"/>
            <w:hideMark/>
          </w:tcPr>
          <w:p w14:paraId="6218DE3D"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6F12BB6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23</w:t>
            </w:r>
          </w:p>
        </w:tc>
        <w:tc>
          <w:tcPr>
            <w:tcW w:w="850" w:type="dxa"/>
            <w:tcBorders>
              <w:top w:val="nil"/>
              <w:left w:val="nil"/>
              <w:bottom w:val="single" w:sz="4" w:space="0" w:color="auto"/>
              <w:right w:val="single" w:sz="4" w:space="0" w:color="auto"/>
            </w:tcBorders>
            <w:shd w:val="clear" w:color="auto" w:fill="auto"/>
            <w:noWrap/>
            <w:vAlign w:val="center"/>
            <w:hideMark/>
          </w:tcPr>
          <w:p w14:paraId="3CAB3D53"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92</w:t>
            </w:r>
          </w:p>
        </w:tc>
        <w:tc>
          <w:tcPr>
            <w:tcW w:w="851" w:type="dxa"/>
            <w:tcBorders>
              <w:top w:val="nil"/>
              <w:left w:val="nil"/>
              <w:bottom w:val="single" w:sz="4" w:space="0" w:color="auto"/>
              <w:right w:val="single" w:sz="4" w:space="0" w:color="auto"/>
            </w:tcBorders>
            <w:shd w:val="clear" w:color="auto" w:fill="auto"/>
            <w:noWrap/>
            <w:vAlign w:val="center"/>
            <w:hideMark/>
          </w:tcPr>
          <w:p w14:paraId="105C5EEA"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42B1EE9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117</w:t>
            </w:r>
          </w:p>
        </w:tc>
      </w:tr>
      <w:tr w:rsidR="00476D60" w:rsidRPr="00BF1898" w14:paraId="3AFA320F" w14:textId="77777777" w:rsidTr="00F83B44">
        <w:trPr>
          <w:trHeight w:val="288"/>
        </w:trPr>
        <w:tc>
          <w:tcPr>
            <w:tcW w:w="1135" w:type="dxa"/>
            <w:vMerge/>
            <w:tcBorders>
              <w:top w:val="nil"/>
              <w:left w:val="single" w:sz="4" w:space="0" w:color="auto"/>
              <w:bottom w:val="single" w:sz="4" w:space="0" w:color="auto"/>
              <w:right w:val="single" w:sz="4" w:space="0" w:color="auto"/>
            </w:tcBorders>
            <w:vAlign w:val="center"/>
            <w:hideMark/>
          </w:tcPr>
          <w:p w14:paraId="1D47F439" w14:textId="77777777" w:rsidR="00476D60" w:rsidRPr="00BF1898" w:rsidRDefault="00476D60" w:rsidP="00F83B44">
            <w:pPr>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C70EB2C" w14:textId="77777777" w:rsidR="00476D60" w:rsidRPr="00BF1898" w:rsidRDefault="00476D60" w:rsidP="00F83B44">
            <w:pPr>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Massaguet</w:t>
            </w:r>
            <w:proofErr w:type="spellEnd"/>
          </w:p>
        </w:tc>
        <w:tc>
          <w:tcPr>
            <w:tcW w:w="850" w:type="dxa"/>
            <w:tcBorders>
              <w:top w:val="nil"/>
              <w:left w:val="nil"/>
              <w:bottom w:val="single" w:sz="4" w:space="0" w:color="auto"/>
              <w:right w:val="nil"/>
            </w:tcBorders>
            <w:shd w:val="clear" w:color="auto" w:fill="auto"/>
            <w:noWrap/>
            <w:vAlign w:val="center"/>
            <w:hideMark/>
          </w:tcPr>
          <w:p w14:paraId="42FAE73A"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21</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E8579CF"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14:paraId="519EB697"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50CFA821"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7</w:t>
            </w:r>
          </w:p>
        </w:tc>
        <w:tc>
          <w:tcPr>
            <w:tcW w:w="850" w:type="dxa"/>
            <w:tcBorders>
              <w:top w:val="nil"/>
              <w:left w:val="nil"/>
              <w:bottom w:val="single" w:sz="4" w:space="0" w:color="auto"/>
              <w:right w:val="single" w:sz="4" w:space="0" w:color="auto"/>
            </w:tcBorders>
            <w:shd w:val="clear" w:color="auto" w:fill="auto"/>
            <w:noWrap/>
            <w:vAlign w:val="center"/>
            <w:hideMark/>
          </w:tcPr>
          <w:p w14:paraId="4971DBB2"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30</w:t>
            </w:r>
          </w:p>
        </w:tc>
        <w:tc>
          <w:tcPr>
            <w:tcW w:w="851" w:type="dxa"/>
            <w:tcBorders>
              <w:top w:val="nil"/>
              <w:left w:val="nil"/>
              <w:bottom w:val="single" w:sz="4" w:space="0" w:color="auto"/>
              <w:right w:val="single" w:sz="4" w:space="0" w:color="auto"/>
            </w:tcBorders>
            <w:shd w:val="clear" w:color="auto" w:fill="auto"/>
            <w:noWrap/>
            <w:vAlign w:val="center"/>
            <w:hideMark/>
          </w:tcPr>
          <w:p w14:paraId="3006101C"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73A4D0D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35</w:t>
            </w:r>
          </w:p>
        </w:tc>
        <w:tc>
          <w:tcPr>
            <w:tcW w:w="850" w:type="dxa"/>
            <w:tcBorders>
              <w:top w:val="nil"/>
              <w:left w:val="nil"/>
              <w:bottom w:val="single" w:sz="4" w:space="0" w:color="auto"/>
              <w:right w:val="single" w:sz="4" w:space="0" w:color="auto"/>
            </w:tcBorders>
            <w:shd w:val="clear" w:color="auto" w:fill="auto"/>
            <w:noWrap/>
            <w:vAlign w:val="center"/>
            <w:hideMark/>
          </w:tcPr>
          <w:p w14:paraId="14ECE409"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150</w:t>
            </w:r>
          </w:p>
        </w:tc>
        <w:tc>
          <w:tcPr>
            <w:tcW w:w="851" w:type="dxa"/>
            <w:tcBorders>
              <w:top w:val="nil"/>
              <w:left w:val="nil"/>
              <w:bottom w:val="single" w:sz="4" w:space="0" w:color="auto"/>
              <w:right w:val="single" w:sz="4" w:space="0" w:color="auto"/>
            </w:tcBorders>
            <w:shd w:val="clear" w:color="auto" w:fill="auto"/>
            <w:noWrap/>
            <w:vAlign w:val="center"/>
            <w:hideMark/>
          </w:tcPr>
          <w:p w14:paraId="5EF4E09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7359115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175</w:t>
            </w:r>
          </w:p>
        </w:tc>
      </w:tr>
      <w:tr w:rsidR="00476D60" w:rsidRPr="00BF1898" w14:paraId="2B355696" w14:textId="77777777" w:rsidTr="00F83B44">
        <w:trPr>
          <w:trHeight w:val="288"/>
        </w:trPr>
        <w:tc>
          <w:tcPr>
            <w:tcW w:w="1135" w:type="dxa"/>
            <w:vMerge/>
            <w:tcBorders>
              <w:top w:val="nil"/>
              <w:left w:val="single" w:sz="4" w:space="0" w:color="auto"/>
              <w:bottom w:val="single" w:sz="4" w:space="0" w:color="auto"/>
              <w:right w:val="single" w:sz="4" w:space="0" w:color="auto"/>
            </w:tcBorders>
            <w:vAlign w:val="center"/>
            <w:hideMark/>
          </w:tcPr>
          <w:p w14:paraId="2B5F3700" w14:textId="77777777" w:rsidR="00476D60" w:rsidRPr="00BF1898" w:rsidRDefault="00476D60" w:rsidP="00F83B44">
            <w:pPr>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ECDD4C3" w14:textId="77777777" w:rsidR="00476D60" w:rsidRPr="00BF1898" w:rsidRDefault="00476D60" w:rsidP="00F83B44">
            <w:pPr>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Massakory</w:t>
            </w:r>
            <w:proofErr w:type="spellEnd"/>
          </w:p>
        </w:tc>
        <w:tc>
          <w:tcPr>
            <w:tcW w:w="850" w:type="dxa"/>
            <w:tcBorders>
              <w:top w:val="nil"/>
              <w:left w:val="nil"/>
              <w:bottom w:val="single" w:sz="4" w:space="0" w:color="auto"/>
              <w:right w:val="nil"/>
            </w:tcBorders>
            <w:shd w:val="clear" w:color="auto" w:fill="auto"/>
            <w:noWrap/>
            <w:vAlign w:val="center"/>
            <w:hideMark/>
          </w:tcPr>
          <w:p w14:paraId="39682DE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CB5FADD"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850" w:type="dxa"/>
            <w:tcBorders>
              <w:top w:val="nil"/>
              <w:left w:val="nil"/>
              <w:bottom w:val="single" w:sz="4" w:space="0" w:color="auto"/>
              <w:right w:val="single" w:sz="4" w:space="0" w:color="auto"/>
            </w:tcBorders>
            <w:shd w:val="clear" w:color="auto" w:fill="auto"/>
            <w:noWrap/>
            <w:vAlign w:val="center"/>
            <w:hideMark/>
          </w:tcPr>
          <w:p w14:paraId="1C65EB7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0D0725C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14:paraId="663FF15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1" w:type="dxa"/>
            <w:tcBorders>
              <w:top w:val="nil"/>
              <w:left w:val="nil"/>
              <w:bottom w:val="single" w:sz="4" w:space="0" w:color="auto"/>
              <w:right w:val="single" w:sz="4" w:space="0" w:color="auto"/>
            </w:tcBorders>
            <w:shd w:val="clear" w:color="auto" w:fill="auto"/>
            <w:noWrap/>
            <w:vAlign w:val="center"/>
            <w:hideMark/>
          </w:tcPr>
          <w:p w14:paraId="3E1A9875"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1D579207"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30</w:t>
            </w:r>
          </w:p>
        </w:tc>
        <w:tc>
          <w:tcPr>
            <w:tcW w:w="850" w:type="dxa"/>
            <w:tcBorders>
              <w:top w:val="nil"/>
              <w:left w:val="nil"/>
              <w:bottom w:val="single" w:sz="4" w:space="0" w:color="auto"/>
              <w:right w:val="single" w:sz="4" w:space="0" w:color="auto"/>
            </w:tcBorders>
            <w:shd w:val="clear" w:color="auto" w:fill="auto"/>
            <w:noWrap/>
            <w:vAlign w:val="center"/>
            <w:hideMark/>
          </w:tcPr>
          <w:p w14:paraId="4389E1FF"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125</w:t>
            </w:r>
          </w:p>
        </w:tc>
        <w:tc>
          <w:tcPr>
            <w:tcW w:w="851" w:type="dxa"/>
            <w:tcBorders>
              <w:top w:val="nil"/>
              <w:left w:val="nil"/>
              <w:bottom w:val="single" w:sz="4" w:space="0" w:color="auto"/>
              <w:right w:val="single" w:sz="4" w:space="0" w:color="auto"/>
            </w:tcBorders>
            <w:shd w:val="clear" w:color="auto" w:fill="auto"/>
            <w:noWrap/>
            <w:vAlign w:val="center"/>
            <w:hideMark/>
          </w:tcPr>
          <w:p w14:paraId="1BAFCA1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41E938D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150</w:t>
            </w:r>
          </w:p>
        </w:tc>
      </w:tr>
      <w:tr w:rsidR="00476D60" w:rsidRPr="00BF1898" w14:paraId="4E57C505" w14:textId="77777777" w:rsidTr="00F83B44">
        <w:trPr>
          <w:trHeight w:val="288"/>
        </w:trPr>
        <w:tc>
          <w:tcPr>
            <w:tcW w:w="11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4775DC"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MAYO KEBBI EST</w:t>
            </w:r>
          </w:p>
        </w:tc>
        <w:tc>
          <w:tcPr>
            <w:tcW w:w="1134" w:type="dxa"/>
            <w:tcBorders>
              <w:top w:val="nil"/>
              <w:left w:val="nil"/>
              <w:bottom w:val="single" w:sz="4" w:space="0" w:color="auto"/>
              <w:right w:val="single" w:sz="4" w:space="0" w:color="auto"/>
            </w:tcBorders>
            <w:shd w:val="clear" w:color="auto" w:fill="auto"/>
            <w:noWrap/>
            <w:vAlign w:val="center"/>
            <w:hideMark/>
          </w:tcPr>
          <w:p w14:paraId="288149B2" w14:textId="77777777" w:rsidR="00476D60" w:rsidRPr="00BF1898" w:rsidRDefault="00476D60" w:rsidP="00F83B44">
            <w:pPr>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Bongor</w:t>
            </w:r>
            <w:proofErr w:type="spellEnd"/>
          </w:p>
        </w:tc>
        <w:tc>
          <w:tcPr>
            <w:tcW w:w="850" w:type="dxa"/>
            <w:tcBorders>
              <w:top w:val="nil"/>
              <w:left w:val="nil"/>
              <w:bottom w:val="single" w:sz="4" w:space="0" w:color="auto"/>
              <w:right w:val="nil"/>
            </w:tcBorders>
            <w:shd w:val="clear" w:color="auto" w:fill="auto"/>
            <w:noWrap/>
            <w:vAlign w:val="center"/>
            <w:hideMark/>
          </w:tcPr>
          <w:p w14:paraId="02F5042A"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CAD7236"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7</w:t>
            </w:r>
          </w:p>
        </w:tc>
        <w:tc>
          <w:tcPr>
            <w:tcW w:w="850" w:type="dxa"/>
            <w:tcBorders>
              <w:top w:val="nil"/>
              <w:left w:val="nil"/>
              <w:bottom w:val="single" w:sz="4" w:space="0" w:color="auto"/>
              <w:right w:val="single" w:sz="4" w:space="0" w:color="auto"/>
            </w:tcBorders>
            <w:shd w:val="clear" w:color="auto" w:fill="auto"/>
            <w:noWrap/>
            <w:vAlign w:val="center"/>
            <w:hideMark/>
          </w:tcPr>
          <w:p w14:paraId="750348E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1A0FA03F"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8</w:t>
            </w:r>
          </w:p>
        </w:tc>
        <w:tc>
          <w:tcPr>
            <w:tcW w:w="850" w:type="dxa"/>
            <w:tcBorders>
              <w:top w:val="nil"/>
              <w:left w:val="nil"/>
              <w:bottom w:val="single" w:sz="4" w:space="0" w:color="auto"/>
              <w:right w:val="single" w:sz="4" w:space="0" w:color="auto"/>
            </w:tcBorders>
            <w:shd w:val="clear" w:color="auto" w:fill="auto"/>
            <w:noWrap/>
            <w:vAlign w:val="center"/>
            <w:hideMark/>
          </w:tcPr>
          <w:p w14:paraId="64834436"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37</w:t>
            </w:r>
          </w:p>
        </w:tc>
        <w:tc>
          <w:tcPr>
            <w:tcW w:w="851" w:type="dxa"/>
            <w:tcBorders>
              <w:top w:val="nil"/>
              <w:left w:val="nil"/>
              <w:bottom w:val="single" w:sz="4" w:space="0" w:color="auto"/>
              <w:right w:val="single" w:sz="4" w:space="0" w:color="auto"/>
            </w:tcBorders>
            <w:shd w:val="clear" w:color="auto" w:fill="auto"/>
            <w:noWrap/>
            <w:vAlign w:val="center"/>
            <w:hideMark/>
          </w:tcPr>
          <w:p w14:paraId="1ADCB5B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20340F1D"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42</w:t>
            </w:r>
          </w:p>
        </w:tc>
        <w:tc>
          <w:tcPr>
            <w:tcW w:w="850" w:type="dxa"/>
            <w:tcBorders>
              <w:top w:val="nil"/>
              <w:left w:val="nil"/>
              <w:bottom w:val="single" w:sz="4" w:space="0" w:color="auto"/>
              <w:right w:val="single" w:sz="4" w:space="0" w:color="auto"/>
            </w:tcBorders>
            <w:shd w:val="clear" w:color="auto" w:fill="auto"/>
            <w:noWrap/>
            <w:vAlign w:val="center"/>
            <w:hideMark/>
          </w:tcPr>
          <w:p w14:paraId="08349904"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183</w:t>
            </w:r>
          </w:p>
        </w:tc>
        <w:tc>
          <w:tcPr>
            <w:tcW w:w="851" w:type="dxa"/>
            <w:tcBorders>
              <w:top w:val="nil"/>
              <w:left w:val="nil"/>
              <w:bottom w:val="single" w:sz="4" w:space="0" w:color="auto"/>
              <w:right w:val="single" w:sz="4" w:space="0" w:color="auto"/>
            </w:tcBorders>
            <w:shd w:val="clear" w:color="auto" w:fill="auto"/>
            <w:noWrap/>
            <w:vAlign w:val="center"/>
            <w:hideMark/>
          </w:tcPr>
          <w:p w14:paraId="64DEDAE2"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5480054A"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208</w:t>
            </w:r>
          </w:p>
        </w:tc>
      </w:tr>
      <w:tr w:rsidR="00476D60" w:rsidRPr="00BF1898" w14:paraId="55EF7620" w14:textId="77777777" w:rsidTr="00F83B44">
        <w:trPr>
          <w:trHeight w:val="288"/>
        </w:trPr>
        <w:tc>
          <w:tcPr>
            <w:tcW w:w="1135" w:type="dxa"/>
            <w:vMerge/>
            <w:tcBorders>
              <w:top w:val="nil"/>
              <w:left w:val="single" w:sz="4" w:space="0" w:color="auto"/>
              <w:bottom w:val="single" w:sz="4" w:space="0" w:color="000000"/>
              <w:right w:val="single" w:sz="4" w:space="0" w:color="auto"/>
            </w:tcBorders>
            <w:vAlign w:val="center"/>
            <w:hideMark/>
          </w:tcPr>
          <w:p w14:paraId="182E2231" w14:textId="77777777" w:rsidR="00476D60" w:rsidRPr="00BF1898" w:rsidRDefault="00476D60" w:rsidP="00F83B44">
            <w:pPr>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3CE26F51" w14:textId="77777777" w:rsidR="00476D60" w:rsidRPr="00BF1898" w:rsidRDefault="00476D60" w:rsidP="00F83B44">
            <w:pPr>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Guelendeng</w:t>
            </w:r>
            <w:proofErr w:type="spellEnd"/>
          </w:p>
        </w:tc>
        <w:tc>
          <w:tcPr>
            <w:tcW w:w="850" w:type="dxa"/>
            <w:tcBorders>
              <w:top w:val="nil"/>
              <w:left w:val="nil"/>
              <w:bottom w:val="single" w:sz="4" w:space="0" w:color="auto"/>
              <w:right w:val="nil"/>
            </w:tcBorders>
            <w:shd w:val="clear" w:color="auto" w:fill="auto"/>
            <w:noWrap/>
            <w:vAlign w:val="center"/>
            <w:hideMark/>
          </w:tcPr>
          <w:p w14:paraId="55D55522"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10</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42FE9F7"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w:t>
            </w:r>
          </w:p>
        </w:tc>
        <w:tc>
          <w:tcPr>
            <w:tcW w:w="850" w:type="dxa"/>
            <w:tcBorders>
              <w:top w:val="nil"/>
              <w:left w:val="nil"/>
              <w:bottom w:val="single" w:sz="4" w:space="0" w:color="auto"/>
              <w:right w:val="single" w:sz="4" w:space="0" w:color="auto"/>
            </w:tcBorders>
            <w:shd w:val="clear" w:color="auto" w:fill="auto"/>
            <w:noWrap/>
            <w:vAlign w:val="center"/>
            <w:hideMark/>
          </w:tcPr>
          <w:p w14:paraId="6D2FA92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58794A42"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w:t>
            </w:r>
          </w:p>
        </w:tc>
        <w:tc>
          <w:tcPr>
            <w:tcW w:w="850" w:type="dxa"/>
            <w:tcBorders>
              <w:top w:val="nil"/>
              <w:left w:val="nil"/>
              <w:bottom w:val="single" w:sz="4" w:space="0" w:color="auto"/>
              <w:right w:val="single" w:sz="4" w:space="0" w:color="auto"/>
            </w:tcBorders>
            <w:shd w:val="clear" w:color="auto" w:fill="auto"/>
            <w:noWrap/>
            <w:vAlign w:val="center"/>
            <w:hideMark/>
          </w:tcPr>
          <w:p w14:paraId="4022A104"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12</w:t>
            </w:r>
          </w:p>
        </w:tc>
        <w:tc>
          <w:tcPr>
            <w:tcW w:w="851" w:type="dxa"/>
            <w:tcBorders>
              <w:top w:val="nil"/>
              <w:left w:val="nil"/>
              <w:bottom w:val="single" w:sz="4" w:space="0" w:color="auto"/>
              <w:right w:val="single" w:sz="4" w:space="0" w:color="auto"/>
            </w:tcBorders>
            <w:shd w:val="clear" w:color="auto" w:fill="auto"/>
            <w:noWrap/>
            <w:vAlign w:val="center"/>
            <w:hideMark/>
          </w:tcPr>
          <w:p w14:paraId="0B87E48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7756F33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w:t>
            </w:r>
          </w:p>
        </w:tc>
        <w:tc>
          <w:tcPr>
            <w:tcW w:w="850" w:type="dxa"/>
            <w:tcBorders>
              <w:top w:val="nil"/>
              <w:left w:val="nil"/>
              <w:bottom w:val="single" w:sz="4" w:space="0" w:color="auto"/>
              <w:right w:val="single" w:sz="4" w:space="0" w:color="auto"/>
            </w:tcBorders>
            <w:shd w:val="clear" w:color="auto" w:fill="auto"/>
            <w:noWrap/>
            <w:vAlign w:val="center"/>
            <w:hideMark/>
          </w:tcPr>
          <w:p w14:paraId="5DBDA5ED"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58</w:t>
            </w:r>
          </w:p>
        </w:tc>
        <w:tc>
          <w:tcPr>
            <w:tcW w:w="851" w:type="dxa"/>
            <w:tcBorders>
              <w:top w:val="nil"/>
              <w:left w:val="nil"/>
              <w:bottom w:val="single" w:sz="4" w:space="0" w:color="auto"/>
              <w:right w:val="single" w:sz="4" w:space="0" w:color="auto"/>
            </w:tcBorders>
            <w:shd w:val="clear" w:color="auto" w:fill="auto"/>
            <w:noWrap/>
            <w:vAlign w:val="center"/>
            <w:hideMark/>
          </w:tcPr>
          <w:p w14:paraId="4F93553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623993FF"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83</w:t>
            </w:r>
          </w:p>
        </w:tc>
      </w:tr>
      <w:tr w:rsidR="00476D60" w:rsidRPr="00BF1898" w14:paraId="518ECEEE" w14:textId="77777777" w:rsidTr="00F83B44">
        <w:trPr>
          <w:trHeight w:val="288"/>
        </w:trPr>
        <w:tc>
          <w:tcPr>
            <w:tcW w:w="1135" w:type="dxa"/>
            <w:vMerge/>
            <w:tcBorders>
              <w:top w:val="nil"/>
              <w:left w:val="single" w:sz="4" w:space="0" w:color="auto"/>
              <w:bottom w:val="single" w:sz="4" w:space="0" w:color="000000"/>
              <w:right w:val="single" w:sz="4" w:space="0" w:color="auto"/>
            </w:tcBorders>
            <w:vAlign w:val="center"/>
            <w:hideMark/>
          </w:tcPr>
          <w:p w14:paraId="5E939752" w14:textId="77777777" w:rsidR="00476D60" w:rsidRPr="00BF1898" w:rsidRDefault="00476D60" w:rsidP="00F83B44">
            <w:pPr>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5F20FBA1" w14:textId="77777777" w:rsidR="00476D60" w:rsidRPr="00BF1898" w:rsidRDefault="00476D60" w:rsidP="00F83B44">
            <w:pPr>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Moulkou</w:t>
            </w:r>
            <w:proofErr w:type="spellEnd"/>
          </w:p>
        </w:tc>
        <w:tc>
          <w:tcPr>
            <w:tcW w:w="850" w:type="dxa"/>
            <w:tcBorders>
              <w:top w:val="nil"/>
              <w:left w:val="nil"/>
              <w:bottom w:val="single" w:sz="4" w:space="0" w:color="auto"/>
              <w:right w:val="nil"/>
            </w:tcBorders>
            <w:shd w:val="clear" w:color="auto" w:fill="auto"/>
            <w:noWrap/>
            <w:vAlign w:val="center"/>
            <w:hideMark/>
          </w:tcPr>
          <w:p w14:paraId="0F623D56"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8</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6D7CAA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w:t>
            </w:r>
          </w:p>
        </w:tc>
        <w:tc>
          <w:tcPr>
            <w:tcW w:w="850" w:type="dxa"/>
            <w:tcBorders>
              <w:top w:val="nil"/>
              <w:left w:val="nil"/>
              <w:bottom w:val="single" w:sz="4" w:space="0" w:color="auto"/>
              <w:right w:val="single" w:sz="4" w:space="0" w:color="auto"/>
            </w:tcBorders>
            <w:shd w:val="clear" w:color="auto" w:fill="auto"/>
            <w:noWrap/>
            <w:vAlign w:val="center"/>
            <w:hideMark/>
          </w:tcPr>
          <w:p w14:paraId="5F8674A2"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44355061"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w:t>
            </w:r>
          </w:p>
        </w:tc>
        <w:tc>
          <w:tcPr>
            <w:tcW w:w="850" w:type="dxa"/>
            <w:tcBorders>
              <w:top w:val="nil"/>
              <w:left w:val="nil"/>
              <w:bottom w:val="single" w:sz="4" w:space="0" w:color="auto"/>
              <w:right w:val="single" w:sz="4" w:space="0" w:color="auto"/>
            </w:tcBorders>
            <w:shd w:val="clear" w:color="auto" w:fill="auto"/>
            <w:noWrap/>
            <w:vAlign w:val="center"/>
            <w:hideMark/>
          </w:tcPr>
          <w:p w14:paraId="4C5977CC"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8</w:t>
            </w:r>
          </w:p>
        </w:tc>
        <w:tc>
          <w:tcPr>
            <w:tcW w:w="851" w:type="dxa"/>
            <w:tcBorders>
              <w:top w:val="nil"/>
              <w:left w:val="nil"/>
              <w:bottom w:val="single" w:sz="4" w:space="0" w:color="auto"/>
              <w:right w:val="single" w:sz="4" w:space="0" w:color="auto"/>
            </w:tcBorders>
            <w:shd w:val="clear" w:color="auto" w:fill="auto"/>
            <w:noWrap/>
            <w:vAlign w:val="center"/>
            <w:hideMark/>
          </w:tcPr>
          <w:p w14:paraId="1F55AFC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3545BAB1"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13</w:t>
            </w:r>
          </w:p>
        </w:tc>
        <w:tc>
          <w:tcPr>
            <w:tcW w:w="850" w:type="dxa"/>
            <w:tcBorders>
              <w:top w:val="nil"/>
              <w:left w:val="nil"/>
              <w:bottom w:val="single" w:sz="4" w:space="0" w:color="auto"/>
              <w:right w:val="single" w:sz="4" w:space="0" w:color="auto"/>
            </w:tcBorders>
            <w:shd w:val="clear" w:color="auto" w:fill="auto"/>
            <w:noWrap/>
            <w:vAlign w:val="center"/>
            <w:hideMark/>
          </w:tcPr>
          <w:p w14:paraId="4F17D7C4"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42</w:t>
            </w:r>
          </w:p>
        </w:tc>
        <w:tc>
          <w:tcPr>
            <w:tcW w:w="851" w:type="dxa"/>
            <w:tcBorders>
              <w:top w:val="nil"/>
              <w:left w:val="nil"/>
              <w:bottom w:val="single" w:sz="4" w:space="0" w:color="auto"/>
              <w:right w:val="single" w:sz="4" w:space="0" w:color="auto"/>
            </w:tcBorders>
            <w:shd w:val="clear" w:color="auto" w:fill="auto"/>
            <w:noWrap/>
            <w:vAlign w:val="center"/>
            <w:hideMark/>
          </w:tcPr>
          <w:p w14:paraId="60BD4E45"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5970A5A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67</w:t>
            </w:r>
          </w:p>
        </w:tc>
      </w:tr>
      <w:tr w:rsidR="00476D60" w:rsidRPr="00BF1898" w14:paraId="2A1183DA" w14:textId="77777777" w:rsidTr="00F83B44">
        <w:trPr>
          <w:trHeight w:val="288"/>
        </w:trPr>
        <w:tc>
          <w:tcPr>
            <w:tcW w:w="1135" w:type="dxa"/>
            <w:vMerge/>
            <w:tcBorders>
              <w:top w:val="nil"/>
              <w:left w:val="single" w:sz="4" w:space="0" w:color="auto"/>
              <w:bottom w:val="single" w:sz="4" w:space="0" w:color="000000"/>
              <w:right w:val="single" w:sz="4" w:space="0" w:color="auto"/>
            </w:tcBorders>
            <w:vAlign w:val="center"/>
            <w:hideMark/>
          </w:tcPr>
          <w:p w14:paraId="6EA55833" w14:textId="77777777" w:rsidR="00476D60" w:rsidRPr="00BF1898" w:rsidRDefault="00476D60" w:rsidP="00F83B44">
            <w:pPr>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000000" w:fill="FFFFFF"/>
            <w:noWrap/>
            <w:vAlign w:val="center"/>
            <w:hideMark/>
          </w:tcPr>
          <w:p w14:paraId="58359144" w14:textId="77777777" w:rsidR="00476D60" w:rsidRPr="00BF1898" w:rsidRDefault="00476D60" w:rsidP="00F83B44">
            <w:pP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Gam</w:t>
            </w:r>
          </w:p>
        </w:tc>
        <w:tc>
          <w:tcPr>
            <w:tcW w:w="850" w:type="dxa"/>
            <w:tcBorders>
              <w:top w:val="nil"/>
              <w:left w:val="nil"/>
              <w:bottom w:val="single" w:sz="4" w:space="0" w:color="auto"/>
              <w:right w:val="nil"/>
            </w:tcBorders>
            <w:shd w:val="clear" w:color="auto" w:fill="auto"/>
            <w:noWrap/>
            <w:vAlign w:val="center"/>
            <w:hideMark/>
          </w:tcPr>
          <w:p w14:paraId="1A12B78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11</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B18212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w:t>
            </w:r>
          </w:p>
        </w:tc>
        <w:tc>
          <w:tcPr>
            <w:tcW w:w="850" w:type="dxa"/>
            <w:tcBorders>
              <w:top w:val="nil"/>
              <w:left w:val="nil"/>
              <w:bottom w:val="single" w:sz="4" w:space="0" w:color="auto"/>
              <w:right w:val="single" w:sz="4" w:space="0" w:color="auto"/>
            </w:tcBorders>
            <w:shd w:val="clear" w:color="auto" w:fill="auto"/>
            <w:noWrap/>
            <w:vAlign w:val="center"/>
            <w:hideMark/>
          </w:tcPr>
          <w:p w14:paraId="47BD4803"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43806951"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0" w:type="dxa"/>
            <w:tcBorders>
              <w:top w:val="nil"/>
              <w:left w:val="nil"/>
              <w:bottom w:val="single" w:sz="4" w:space="0" w:color="auto"/>
              <w:right w:val="single" w:sz="4" w:space="0" w:color="auto"/>
            </w:tcBorders>
            <w:shd w:val="clear" w:color="auto" w:fill="auto"/>
            <w:noWrap/>
            <w:vAlign w:val="center"/>
            <w:hideMark/>
          </w:tcPr>
          <w:p w14:paraId="3055142E"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13</w:t>
            </w:r>
          </w:p>
        </w:tc>
        <w:tc>
          <w:tcPr>
            <w:tcW w:w="851" w:type="dxa"/>
            <w:tcBorders>
              <w:top w:val="nil"/>
              <w:left w:val="nil"/>
              <w:bottom w:val="single" w:sz="4" w:space="0" w:color="auto"/>
              <w:right w:val="single" w:sz="4" w:space="0" w:color="auto"/>
            </w:tcBorders>
            <w:shd w:val="clear" w:color="auto" w:fill="auto"/>
            <w:noWrap/>
            <w:vAlign w:val="center"/>
            <w:hideMark/>
          </w:tcPr>
          <w:p w14:paraId="4AF3F4B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0BFEE4D3"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0" w:type="dxa"/>
            <w:tcBorders>
              <w:top w:val="nil"/>
              <w:left w:val="nil"/>
              <w:bottom w:val="single" w:sz="4" w:space="0" w:color="auto"/>
              <w:right w:val="single" w:sz="4" w:space="0" w:color="auto"/>
            </w:tcBorders>
            <w:shd w:val="clear" w:color="auto" w:fill="auto"/>
            <w:noWrap/>
            <w:vAlign w:val="center"/>
            <w:hideMark/>
          </w:tcPr>
          <w:p w14:paraId="4C9D20CF"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67</w:t>
            </w:r>
          </w:p>
        </w:tc>
        <w:tc>
          <w:tcPr>
            <w:tcW w:w="851" w:type="dxa"/>
            <w:tcBorders>
              <w:top w:val="nil"/>
              <w:left w:val="nil"/>
              <w:bottom w:val="single" w:sz="4" w:space="0" w:color="auto"/>
              <w:right w:val="single" w:sz="4" w:space="0" w:color="auto"/>
            </w:tcBorders>
            <w:shd w:val="clear" w:color="auto" w:fill="auto"/>
            <w:noWrap/>
            <w:vAlign w:val="center"/>
            <w:hideMark/>
          </w:tcPr>
          <w:p w14:paraId="43007AD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04757B8D"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92</w:t>
            </w:r>
          </w:p>
        </w:tc>
      </w:tr>
      <w:tr w:rsidR="00476D60" w:rsidRPr="00BF1898" w14:paraId="538BB374" w14:textId="77777777" w:rsidTr="00F83B44">
        <w:trPr>
          <w:trHeight w:val="288"/>
        </w:trPr>
        <w:tc>
          <w:tcPr>
            <w:tcW w:w="1135" w:type="dxa"/>
            <w:vMerge/>
            <w:tcBorders>
              <w:top w:val="nil"/>
              <w:left w:val="single" w:sz="4" w:space="0" w:color="auto"/>
              <w:bottom w:val="single" w:sz="4" w:space="0" w:color="000000"/>
              <w:right w:val="single" w:sz="4" w:space="0" w:color="auto"/>
            </w:tcBorders>
            <w:vAlign w:val="center"/>
            <w:hideMark/>
          </w:tcPr>
          <w:p w14:paraId="7CFBFB70" w14:textId="77777777" w:rsidR="00476D60" w:rsidRPr="00BF1898" w:rsidRDefault="00476D60" w:rsidP="00F83B44">
            <w:pPr>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000000" w:fill="FFFFFF"/>
            <w:noWrap/>
            <w:vAlign w:val="center"/>
            <w:hideMark/>
          </w:tcPr>
          <w:p w14:paraId="69E9EF32" w14:textId="77777777" w:rsidR="00476D60" w:rsidRPr="00BF1898" w:rsidRDefault="00476D60" w:rsidP="00F83B44">
            <w:pP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KATOA</w:t>
            </w:r>
          </w:p>
        </w:tc>
        <w:tc>
          <w:tcPr>
            <w:tcW w:w="850" w:type="dxa"/>
            <w:tcBorders>
              <w:top w:val="nil"/>
              <w:left w:val="nil"/>
              <w:bottom w:val="single" w:sz="4" w:space="0" w:color="auto"/>
              <w:right w:val="nil"/>
            </w:tcBorders>
            <w:shd w:val="clear" w:color="auto" w:fill="auto"/>
            <w:noWrap/>
            <w:vAlign w:val="center"/>
            <w:hideMark/>
          </w:tcPr>
          <w:p w14:paraId="4E8A4693"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9C26772"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0</w:t>
            </w:r>
          </w:p>
        </w:tc>
        <w:tc>
          <w:tcPr>
            <w:tcW w:w="850" w:type="dxa"/>
            <w:tcBorders>
              <w:top w:val="nil"/>
              <w:left w:val="nil"/>
              <w:bottom w:val="single" w:sz="4" w:space="0" w:color="auto"/>
              <w:right w:val="single" w:sz="4" w:space="0" w:color="auto"/>
            </w:tcBorders>
            <w:shd w:val="clear" w:color="auto" w:fill="auto"/>
            <w:noWrap/>
            <w:vAlign w:val="center"/>
            <w:hideMark/>
          </w:tcPr>
          <w:p w14:paraId="2207456D"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0BFF253E"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850" w:type="dxa"/>
            <w:tcBorders>
              <w:top w:val="nil"/>
              <w:left w:val="nil"/>
              <w:bottom w:val="single" w:sz="4" w:space="0" w:color="auto"/>
              <w:right w:val="single" w:sz="4" w:space="0" w:color="auto"/>
            </w:tcBorders>
            <w:shd w:val="clear" w:color="auto" w:fill="auto"/>
            <w:noWrap/>
            <w:vAlign w:val="center"/>
            <w:hideMark/>
          </w:tcPr>
          <w:p w14:paraId="5644694E"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w:t>
            </w:r>
          </w:p>
        </w:tc>
        <w:tc>
          <w:tcPr>
            <w:tcW w:w="851" w:type="dxa"/>
            <w:tcBorders>
              <w:top w:val="nil"/>
              <w:left w:val="nil"/>
              <w:bottom w:val="single" w:sz="4" w:space="0" w:color="auto"/>
              <w:right w:val="single" w:sz="4" w:space="0" w:color="auto"/>
            </w:tcBorders>
            <w:shd w:val="clear" w:color="auto" w:fill="auto"/>
            <w:noWrap/>
            <w:vAlign w:val="center"/>
            <w:hideMark/>
          </w:tcPr>
          <w:p w14:paraId="1988AE81"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2B9B442F"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7</w:t>
            </w:r>
          </w:p>
        </w:tc>
        <w:tc>
          <w:tcPr>
            <w:tcW w:w="850" w:type="dxa"/>
            <w:tcBorders>
              <w:top w:val="nil"/>
              <w:left w:val="nil"/>
              <w:bottom w:val="single" w:sz="4" w:space="0" w:color="auto"/>
              <w:right w:val="single" w:sz="4" w:space="0" w:color="auto"/>
            </w:tcBorders>
            <w:shd w:val="clear" w:color="auto" w:fill="auto"/>
            <w:noWrap/>
            <w:vAlign w:val="center"/>
            <w:hideMark/>
          </w:tcPr>
          <w:p w14:paraId="7E93973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8</w:t>
            </w:r>
          </w:p>
        </w:tc>
        <w:tc>
          <w:tcPr>
            <w:tcW w:w="851" w:type="dxa"/>
            <w:tcBorders>
              <w:top w:val="nil"/>
              <w:left w:val="nil"/>
              <w:bottom w:val="single" w:sz="4" w:space="0" w:color="auto"/>
              <w:right w:val="single" w:sz="4" w:space="0" w:color="auto"/>
            </w:tcBorders>
            <w:shd w:val="clear" w:color="auto" w:fill="auto"/>
            <w:noWrap/>
            <w:vAlign w:val="center"/>
            <w:hideMark/>
          </w:tcPr>
          <w:p w14:paraId="7F1BFDA7"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6FDEDB3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33</w:t>
            </w:r>
          </w:p>
        </w:tc>
      </w:tr>
      <w:tr w:rsidR="00476D60" w:rsidRPr="00BF1898" w14:paraId="3B9F6983" w14:textId="77777777" w:rsidTr="00F83B44">
        <w:trPr>
          <w:trHeight w:val="288"/>
        </w:trPr>
        <w:tc>
          <w:tcPr>
            <w:tcW w:w="11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703C16"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N'DJAMENA</w:t>
            </w:r>
          </w:p>
        </w:tc>
        <w:tc>
          <w:tcPr>
            <w:tcW w:w="1134" w:type="dxa"/>
            <w:tcBorders>
              <w:top w:val="nil"/>
              <w:left w:val="nil"/>
              <w:bottom w:val="single" w:sz="4" w:space="0" w:color="auto"/>
              <w:right w:val="single" w:sz="4" w:space="0" w:color="auto"/>
            </w:tcBorders>
            <w:shd w:val="clear" w:color="auto" w:fill="auto"/>
            <w:noWrap/>
            <w:vAlign w:val="center"/>
            <w:hideMark/>
          </w:tcPr>
          <w:p w14:paraId="39BDF4C1" w14:textId="77777777" w:rsidR="00476D60" w:rsidRPr="00BF1898" w:rsidRDefault="00476D60" w:rsidP="00F83B44">
            <w:pP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N'Djamena Centre</w:t>
            </w:r>
          </w:p>
        </w:tc>
        <w:tc>
          <w:tcPr>
            <w:tcW w:w="850" w:type="dxa"/>
            <w:tcBorders>
              <w:top w:val="nil"/>
              <w:left w:val="nil"/>
              <w:bottom w:val="single" w:sz="4" w:space="0" w:color="auto"/>
              <w:right w:val="nil"/>
            </w:tcBorders>
            <w:shd w:val="clear" w:color="auto" w:fill="auto"/>
            <w:noWrap/>
            <w:vAlign w:val="center"/>
            <w:hideMark/>
          </w:tcPr>
          <w:p w14:paraId="47636502"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B26CFD9"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850" w:type="dxa"/>
            <w:tcBorders>
              <w:top w:val="nil"/>
              <w:left w:val="nil"/>
              <w:bottom w:val="single" w:sz="4" w:space="0" w:color="auto"/>
              <w:right w:val="single" w:sz="4" w:space="0" w:color="auto"/>
            </w:tcBorders>
            <w:shd w:val="clear" w:color="auto" w:fill="auto"/>
            <w:noWrap/>
            <w:vAlign w:val="center"/>
            <w:hideMark/>
          </w:tcPr>
          <w:p w14:paraId="2B0094A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709" w:type="dxa"/>
            <w:tcBorders>
              <w:top w:val="nil"/>
              <w:left w:val="nil"/>
              <w:bottom w:val="single" w:sz="4" w:space="0" w:color="auto"/>
              <w:right w:val="single" w:sz="8" w:space="0" w:color="auto"/>
            </w:tcBorders>
            <w:shd w:val="clear" w:color="auto" w:fill="auto"/>
            <w:noWrap/>
            <w:vAlign w:val="center"/>
            <w:hideMark/>
          </w:tcPr>
          <w:p w14:paraId="50543FFC"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14:paraId="4B27748C"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w:t>
            </w:r>
          </w:p>
        </w:tc>
        <w:tc>
          <w:tcPr>
            <w:tcW w:w="851" w:type="dxa"/>
            <w:tcBorders>
              <w:top w:val="nil"/>
              <w:left w:val="nil"/>
              <w:bottom w:val="single" w:sz="4" w:space="0" w:color="auto"/>
              <w:right w:val="single" w:sz="4" w:space="0" w:color="auto"/>
            </w:tcBorders>
            <w:shd w:val="clear" w:color="auto" w:fill="auto"/>
            <w:noWrap/>
            <w:vAlign w:val="center"/>
            <w:hideMark/>
          </w:tcPr>
          <w:p w14:paraId="43AEFC12"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1134" w:type="dxa"/>
            <w:tcBorders>
              <w:top w:val="nil"/>
              <w:left w:val="nil"/>
              <w:bottom w:val="single" w:sz="4" w:space="0" w:color="auto"/>
              <w:right w:val="single" w:sz="8" w:space="0" w:color="auto"/>
            </w:tcBorders>
            <w:shd w:val="clear" w:color="auto" w:fill="auto"/>
            <w:noWrap/>
            <w:vAlign w:val="center"/>
            <w:hideMark/>
          </w:tcPr>
          <w:p w14:paraId="2B0916E2"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28</w:t>
            </w:r>
          </w:p>
        </w:tc>
        <w:tc>
          <w:tcPr>
            <w:tcW w:w="850" w:type="dxa"/>
            <w:tcBorders>
              <w:top w:val="nil"/>
              <w:left w:val="nil"/>
              <w:bottom w:val="single" w:sz="4" w:space="0" w:color="auto"/>
              <w:right w:val="single" w:sz="4" w:space="0" w:color="auto"/>
            </w:tcBorders>
            <w:shd w:val="clear" w:color="auto" w:fill="auto"/>
            <w:noWrap/>
            <w:vAlign w:val="center"/>
            <w:hideMark/>
          </w:tcPr>
          <w:p w14:paraId="16BF958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23</w:t>
            </w:r>
          </w:p>
        </w:tc>
        <w:tc>
          <w:tcPr>
            <w:tcW w:w="851" w:type="dxa"/>
            <w:tcBorders>
              <w:top w:val="nil"/>
              <w:left w:val="nil"/>
              <w:bottom w:val="single" w:sz="4" w:space="0" w:color="auto"/>
              <w:right w:val="single" w:sz="4" w:space="0" w:color="auto"/>
            </w:tcBorders>
            <w:shd w:val="clear" w:color="auto" w:fill="auto"/>
            <w:noWrap/>
            <w:vAlign w:val="center"/>
            <w:hideMark/>
          </w:tcPr>
          <w:p w14:paraId="4ED7083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175</w:t>
            </w:r>
          </w:p>
        </w:tc>
        <w:tc>
          <w:tcPr>
            <w:tcW w:w="850" w:type="dxa"/>
            <w:tcBorders>
              <w:top w:val="nil"/>
              <w:left w:val="nil"/>
              <w:bottom w:val="single" w:sz="4" w:space="0" w:color="auto"/>
              <w:right w:val="single" w:sz="8" w:space="0" w:color="auto"/>
            </w:tcBorders>
            <w:shd w:val="clear" w:color="auto" w:fill="auto"/>
            <w:noWrap/>
            <w:vAlign w:val="center"/>
            <w:hideMark/>
          </w:tcPr>
          <w:p w14:paraId="2A633971"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198</w:t>
            </w:r>
          </w:p>
        </w:tc>
      </w:tr>
      <w:tr w:rsidR="00476D60" w:rsidRPr="00BF1898" w14:paraId="628C3E3D" w14:textId="77777777" w:rsidTr="00F83B44">
        <w:trPr>
          <w:trHeight w:val="288"/>
        </w:trPr>
        <w:tc>
          <w:tcPr>
            <w:tcW w:w="1135" w:type="dxa"/>
            <w:vMerge/>
            <w:tcBorders>
              <w:top w:val="nil"/>
              <w:left w:val="single" w:sz="4" w:space="0" w:color="auto"/>
              <w:bottom w:val="single" w:sz="4" w:space="0" w:color="auto"/>
              <w:right w:val="single" w:sz="4" w:space="0" w:color="auto"/>
            </w:tcBorders>
            <w:vAlign w:val="center"/>
            <w:hideMark/>
          </w:tcPr>
          <w:p w14:paraId="6D9F88AD" w14:textId="77777777" w:rsidR="00476D60" w:rsidRPr="00BF1898" w:rsidRDefault="00476D60" w:rsidP="00F83B44">
            <w:pPr>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1C4B36A2" w14:textId="77777777" w:rsidR="00476D60" w:rsidRPr="00BF1898" w:rsidRDefault="00476D60" w:rsidP="00F83B44">
            <w:pP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N'Djamena Est</w:t>
            </w:r>
          </w:p>
        </w:tc>
        <w:tc>
          <w:tcPr>
            <w:tcW w:w="850" w:type="dxa"/>
            <w:tcBorders>
              <w:top w:val="nil"/>
              <w:left w:val="nil"/>
              <w:bottom w:val="single" w:sz="4" w:space="0" w:color="auto"/>
              <w:right w:val="nil"/>
            </w:tcBorders>
            <w:shd w:val="clear" w:color="auto" w:fill="auto"/>
            <w:noWrap/>
            <w:vAlign w:val="center"/>
            <w:hideMark/>
          </w:tcPr>
          <w:p w14:paraId="0C7B99F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21</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CCEDD57"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w:t>
            </w:r>
          </w:p>
        </w:tc>
        <w:tc>
          <w:tcPr>
            <w:tcW w:w="850" w:type="dxa"/>
            <w:tcBorders>
              <w:top w:val="nil"/>
              <w:left w:val="nil"/>
              <w:bottom w:val="single" w:sz="4" w:space="0" w:color="auto"/>
              <w:right w:val="single" w:sz="4" w:space="0" w:color="auto"/>
            </w:tcBorders>
            <w:shd w:val="clear" w:color="auto" w:fill="auto"/>
            <w:noWrap/>
            <w:vAlign w:val="center"/>
            <w:hideMark/>
          </w:tcPr>
          <w:p w14:paraId="270E446C"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709" w:type="dxa"/>
            <w:tcBorders>
              <w:top w:val="nil"/>
              <w:left w:val="nil"/>
              <w:bottom w:val="single" w:sz="4" w:space="0" w:color="auto"/>
              <w:right w:val="single" w:sz="8" w:space="0" w:color="auto"/>
            </w:tcBorders>
            <w:shd w:val="clear" w:color="auto" w:fill="auto"/>
            <w:noWrap/>
            <w:vAlign w:val="center"/>
            <w:hideMark/>
          </w:tcPr>
          <w:p w14:paraId="6963B9C6"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7</w:t>
            </w:r>
          </w:p>
        </w:tc>
        <w:tc>
          <w:tcPr>
            <w:tcW w:w="850" w:type="dxa"/>
            <w:tcBorders>
              <w:top w:val="nil"/>
              <w:left w:val="nil"/>
              <w:bottom w:val="single" w:sz="4" w:space="0" w:color="auto"/>
              <w:right w:val="single" w:sz="4" w:space="0" w:color="auto"/>
            </w:tcBorders>
            <w:shd w:val="clear" w:color="auto" w:fill="auto"/>
            <w:noWrap/>
            <w:vAlign w:val="center"/>
            <w:hideMark/>
          </w:tcPr>
          <w:p w14:paraId="31DAD944"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10</w:t>
            </w:r>
          </w:p>
        </w:tc>
        <w:tc>
          <w:tcPr>
            <w:tcW w:w="851" w:type="dxa"/>
            <w:tcBorders>
              <w:top w:val="nil"/>
              <w:left w:val="nil"/>
              <w:bottom w:val="single" w:sz="4" w:space="0" w:color="auto"/>
              <w:right w:val="single" w:sz="4" w:space="0" w:color="auto"/>
            </w:tcBorders>
            <w:shd w:val="clear" w:color="auto" w:fill="auto"/>
            <w:noWrap/>
            <w:vAlign w:val="center"/>
            <w:hideMark/>
          </w:tcPr>
          <w:p w14:paraId="33CDD49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1134" w:type="dxa"/>
            <w:tcBorders>
              <w:top w:val="nil"/>
              <w:left w:val="nil"/>
              <w:bottom w:val="single" w:sz="4" w:space="0" w:color="auto"/>
              <w:right w:val="single" w:sz="8" w:space="0" w:color="auto"/>
            </w:tcBorders>
            <w:shd w:val="clear" w:color="auto" w:fill="auto"/>
            <w:noWrap/>
            <w:vAlign w:val="center"/>
            <w:hideMark/>
          </w:tcPr>
          <w:p w14:paraId="7A61FC0C"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35</w:t>
            </w:r>
          </w:p>
        </w:tc>
        <w:tc>
          <w:tcPr>
            <w:tcW w:w="850" w:type="dxa"/>
            <w:tcBorders>
              <w:top w:val="nil"/>
              <w:left w:val="nil"/>
              <w:bottom w:val="single" w:sz="4" w:space="0" w:color="auto"/>
              <w:right w:val="single" w:sz="4" w:space="0" w:color="auto"/>
            </w:tcBorders>
            <w:shd w:val="clear" w:color="auto" w:fill="auto"/>
            <w:noWrap/>
            <w:vAlign w:val="center"/>
            <w:hideMark/>
          </w:tcPr>
          <w:p w14:paraId="1C0F4BFA"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70</w:t>
            </w:r>
          </w:p>
        </w:tc>
        <w:tc>
          <w:tcPr>
            <w:tcW w:w="851" w:type="dxa"/>
            <w:tcBorders>
              <w:top w:val="nil"/>
              <w:left w:val="nil"/>
              <w:bottom w:val="single" w:sz="4" w:space="0" w:color="auto"/>
              <w:right w:val="single" w:sz="4" w:space="0" w:color="auto"/>
            </w:tcBorders>
            <w:shd w:val="clear" w:color="auto" w:fill="auto"/>
            <w:noWrap/>
            <w:vAlign w:val="center"/>
            <w:hideMark/>
          </w:tcPr>
          <w:p w14:paraId="11E273CA"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175</w:t>
            </w:r>
          </w:p>
        </w:tc>
        <w:tc>
          <w:tcPr>
            <w:tcW w:w="850" w:type="dxa"/>
            <w:tcBorders>
              <w:top w:val="nil"/>
              <w:left w:val="nil"/>
              <w:bottom w:val="single" w:sz="4" w:space="0" w:color="auto"/>
              <w:right w:val="single" w:sz="8" w:space="0" w:color="auto"/>
            </w:tcBorders>
            <w:shd w:val="clear" w:color="auto" w:fill="auto"/>
            <w:noWrap/>
            <w:vAlign w:val="center"/>
            <w:hideMark/>
          </w:tcPr>
          <w:p w14:paraId="3780C82D"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245</w:t>
            </w:r>
          </w:p>
        </w:tc>
      </w:tr>
      <w:tr w:rsidR="00476D60" w:rsidRPr="00BF1898" w14:paraId="5F542E4D" w14:textId="77777777" w:rsidTr="00F83B44">
        <w:trPr>
          <w:trHeight w:val="288"/>
        </w:trPr>
        <w:tc>
          <w:tcPr>
            <w:tcW w:w="1135" w:type="dxa"/>
            <w:vMerge/>
            <w:tcBorders>
              <w:top w:val="nil"/>
              <w:left w:val="single" w:sz="4" w:space="0" w:color="auto"/>
              <w:bottom w:val="single" w:sz="4" w:space="0" w:color="auto"/>
              <w:right w:val="single" w:sz="4" w:space="0" w:color="auto"/>
            </w:tcBorders>
            <w:vAlign w:val="center"/>
            <w:hideMark/>
          </w:tcPr>
          <w:p w14:paraId="393C8679" w14:textId="77777777" w:rsidR="00476D60" w:rsidRPr="00BF1898" w:rsidRDefault="00476D60" w:rsidP="00F83B44">
            <w:pPr>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1FFA167" w14:textId="77777777" w:rsidR="00476D60" w:rsidRPr="00BF1898" w:rsidRDefault="00476D60" w:rsidP="00F83B44">
            <w:pP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N'Djamena Nord</w:t>
            </w:r>
          </w:p>
        </w:tc>
        <w:tc>
          <w:tcPr>
            <w:tcW w:w="850" w:type="dxa"/>
            <w:tcBorders>
              <w:top w:val="nil"/>
              <w:left w:val="nil"/>
              <w:bottom w:val="single" w:sz="4" w:space="0" w:color="auto"/>
              <w:right w:val="nil"/>
            </w:tcBorders>
            <w:shd w:val="clear" w:color="auto" w:fill="auto"/>
            <w:noWrap/>
            <w:vAlign w:val="center"/>
            <w:hideMark/>
          </w:tcPr>
          <w:p w14:paraId="26DFD744"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452264A"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0" w:type="dxa"/>
            <w:tcBorders>
              <w:top w:val="nil"/>
              <w:left w:val="nil"/>
              <w:bottom w:val="single" w:sz="4" w:space="0" w:color="auto"/>
              <w:right w:val="single" w:sz="4" w:space="0" w:color="auto"/>
            </w:tcBorders>
            <w:shd w:val="clear" w:color="auto" w:fill="auto"/>
            <w:noWrap/>
            <w:vAlign w:val="center"/>
            <w:hideMark/>
          </w:tcPr>
          <w:p w14:paraId="0E93D5E1"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w:t>
            </w:r>
          </w:p>
        </w:tc>
        <w:tc>
          <w:tcPr>
            <w:tcW w:w="709" w:type="dxa"/>
            <w:tcBorders>
              <w:top w:val="nil"/>
              <w:left w:val="nil"/>
              <w:bottom w:val="single" w:sz="4" w:space="0" w:color="auto"/>
              <w:right w:val="single" w:sz="8" w:space="0" w:color="auto"/>
            </w:tcBorders>
            <w:shd w:val="clear" w:color="auto" w:fill="auto"/>
            <w:noWrap/>
            <w:vAlign w:val="center"/>
            <w:hideMark/>
          </w:tcPr>
          <w:p w14:paraId="5880C8EA"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14:paraId="5FA8B157"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1" w:type="dxa"/>
            <w:tcBorders>
              <w:top w:val="nil"/>
              <w:left w:val="nil"/>
              <w:bottom w:val="single" w:sz="4" w:space="0" w:color="auto"/>
              <w:right w:val="single" w:sz="4" w:space="0" w:color="auto"/>
            </w:tcBorders>
            <w:shd w:val="clear" w:color="auto" w:fill="auto"/>
            <w:noWrap/>
            <w:vAlign w:val="center"/>
            <w:hideMark/>
          </w:tcPr>
          <w:p w14:paraId="65A84BDE"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10</w:t>
            </w:r>
          </w:p>
        </w:tc>
        <w:tc>
          <w:tcPr>
            <w:tcW w:w="1134" w:type="dxa"/>
            <w:tcBorders>
              <w:top w:val="nil"/>
              <w:left w:val="nil"/>
              <w:bottom w:val="single" w:sz="4" w:space="0" w:color="auto"/>
              <w:right w:val="single" w:sz="8" w:space="0" w:color="auto"/>
            </w:tcBorders>
            <w:shd w:val="clear" w:color="auto" w:fill="auto"/>
            <w:noWrap/>
            <w:vAlign w:val="center"/>
            <w:hideMark/>
          </w:tcPr>
          <w:p w14:paraId="047367C2"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28</w:t>
            </w:r>
          </w:p>
        </w:tc>
        <w:tc>
          <w:tcPr>
            <w:tcW w:w="850" w:type="dxa"/>
            <w:tcBorders>
              <w:top w:val="nil"/>
              <w:left w:val="nil"/>
              <w:bottom w:val="single" w:sz="4" w:space="0" w:color="auto"/>
              <w:right w:val="single" w:sz="4" w:space="0" w:color="auto"/>
            </w:tcBorders>
            <w:shd w:val="clear" w:color="auto" w:fill="auto"/>
            <w:noWrap/>
            <w:vAlign w:val="center"/>
            <w:hideMark/>
          </w:tcPr>
          <w:p w14:paraId="5A60245D"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128</w:t>
            </w:r>
          </w:p>
        </w:tc>
        <w:tc>
          <w:tcPr>
            <w:tcW w:w="851" w:type="dxa"/>
            <w:tcBorders>
              <w:top w:val="nil"/>
              <w:left w:val="nil"/>
              <w:bottom w:val="single" w:sz="4" w:space="0" w:color="auto"/>
              <w:right w:val="single" w:sz="4" w:space="0" w:color="auto"/>
            </w:tcBorders>
            <w:shd w:val="clear" w:color="auto" w:fill="auto"/>
            <w:noWrap/>
            <w:vAlign w:val="center"/>
            <w:hideMark/>
          </w:tcPr>
          <w:p w14:paraId="355FE80A"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70</w:t>
            </w:r>
          </w:p>
        </w:tc>
        <w:tc>
          <w:tcPr>
            <w:tcW w:w="850" w:type="dxa"/>
            <w:tcBorders>
              <w:top w:val="nil"/>
              <w:left w:val="nil"/>
              <w:bottom w:val="single" w:sz="4" w:space="0" w:color="auto"/>
              <w:right w:val="single" w:sz="8" w:space="0" w:color="auto"/>
            </w:tcBorders>
            <w:shd w:val="clear" w:color="auto" w:fill="auto"/>
            <w:noWrap/>
            <w:vAlign w:val="center"/>
            <w:hideMark/>
          </w:tcPr>
          <w:p w14:paraId="3B55A2D2"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198</w:t>
            </w:r>
          </w:p>
        </w:tc>
      </w:tr>
      <w:tr w:rsidR="00476D60" w:rsidRPr="00BF1898" w14:paraId="3E42182D" w14:textId="77777777" w:rsidTr="00F83B44">
        <w:trPr>
          <w:trHeight w:val="288"/>
        </w:trPr>
        <w:tc>
          <w:tcPr>
            <w:tcW w:w="1135" w:type="dxa"/>
            <w:vMerge/>
            <w:tcBorders>
              <w:top w:val="nil"/>
              <w:left w:val="single" w:sz="4" w:space="0" w:color="auto"/>
              <w:bottom w:val="single" w:sz="4" w:space="0" w:color="auto"/>
              <w:right w:val="single" w:sz="4" w:space="0" w:color="auto"/>
            </w:tcBorders>
            <w:vAlign w:val="center"/>
            <w:hideMark/>
          </w:tcPr>
          <w:p w14:paraId="3B811BE9" w14:textId="77777777" w:rsidR="00476D60" w:rsidRPr="00BF1898" w:rsidRDefault="00476D60" w:rsidP="00F83B44">
            <w:pPr>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63188E9D" w14:textId="77777777" w:rsidR="00476D60" w:rsidRPr="00BF1898" w:rsidRDefault="00476D60" w:rsidP="00F83B44">
            <w:pP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N'Djamena Sud</w:t>
            </w:r>
          </w:p>
        </w:tc>
        <w:tc>
          <w:tcPr>
            <w:tcW w:w="850" w:type="dxa"/>
            <w:tcBorders>
              <w:top w:val="nil"/>
              <w:left w:val="nil"/>
              <w:bottom w:val="single" w:sz="4" w:space="0" w:color="auto"/>
              <w:right w:val="nil"/>
            </w:tcBorders>
            <w:shd w:val="clear" w:color="auto" w:fill="auto"/>
            <w:noWrap/>
            <w:vAlign w:val="center"/>
            <w:hideMark/>
          </w:tcPr>
          <w:p w14:paraId="4023F62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29</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EA60257"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0" w:type="dxa"/>
            <w:tcBorders>
              <w:top w:val="nil"/>
              <w:left w:val="nil"/>
              <w:bottom w:val="single" w:sz="4" w:space="0" w:color="auto"/>
              <w:right w:val="single" w:sz="4" w:space="0" w:color="auto"/>
            </w:tcBorders>
            <w:shd w:val="clear" w:color="auto" w:fill="auto"/>
            <w:noWrap/>
            <w:vAlign w:val="center"/>
            <w:hideMark/>
          </w:tcPr>
          <w:p w14:paraId="01B49FD9"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709" w:type="dxa"/>
            <w:tcBorders>
              <w:top w:val="nil"/>
              <w:left w:val="nil"/>
              <w:bottom w:val="single" w:sz="4" w:space="0" w:color="auto"/>
              <w:right w:val="single" w:sz="8" w:space="0" w:color="auto"/>
            </w:tcBorders>
            <w:shd w:val="clear" w:color="auto" w:fill="auto"/>
            <w:noWrap/>
            <w:vAlign w:val="center"/>
            <w:hideMark/>
          </w:tcPr>
          <w:p w14:paraId="0964EBF3"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10</w:t>
            </w:r>
          </w:p>
        </w:tc>
        <w:tc>
          <w:tcPr>
            <w:tcW w:w="850" w:type="dxa"/>
            <w:tcBorders>
              <w:top w:val="nil"/>
              <w:left w:val="nil"/>
              <w:bottom w:val="single" w:sz="4" w:space="0" w:color="auto"/>
              <w:right w:val="single" w:sz="4" w:space="0" w:color="auto"/>
            </w:tcBorders>
            <w:shd w:val="clear" w:color="auto" w:fill="auto"/>
            <w:noWrap/>
            <w:vAlign w:val="center"/>
            <w:hideMark/>
          </w:tcPr>
          <w:p w14:paraId="7FBC91E2"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1" w:type="dxa"/>
            <w:tcBorders>
              <w:top w:val="nil"/>
              <w:left w:val="nil"/>
              <w:bottom w:val="single" w:sz="4" w:space="0" w:color="auto"/>
              <w:right w:val="single" w:sz="4" w:space="0" w:color="auto"/>
            </w:tcBorders>
            <w:shd w:val="clear" w:color="auto" w:fill="auto"/>
            <w:noWrap/>
            <w:vAlign w:val="center"/>
            <w:hideMark/>
          </w:tcPr>
          <w:p w14:paraId="00357C5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30</w:t>
            </w:r>
          </w:p>
        </w:tc>
        <w:tc>
          <w:tcPr>
            <w:tcW w:w="1134" w:type="dxa"/>
            <w:tcBorders>
              <w:top w:val="nil"/>
              <w:left w:val="nil"/>
              <w:bottom w:val="single" w:sz="4" w:space="0" w:color="auto"/>
              <w:right w:val="single" w:sz="8" w:space="0" w:color="auto"/>
            </w:tcBorders>
            <w:shd w:val="clear" w:color="auto" w:fill="auto"/>
            <w:noWrap/>
            <w:vAlign w:val="center"/>
            <w:hideMark/>
          </w:tcPr>
          <w:p w14:paraId="1EEEBEF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48</w:t>
            </w:r>
          </w:p>
        </w:tc>
        <w:tc>
          <w:tcPr>
            <w:tcW w:w="850" w:type="dxa"/>
            <w:tcBorders>
              <w:top w:val="nil"/>
              <w:left w:val="nil"/>
              <w:bottom w:val="single" w:sz="4" w:space="0" w:color="auto"/>
              <w:right w:val="single" w:sz="4" w:space="0" w:color="auto"/>
            </w:tcBorders>
            <w:shd w:val="clear" w:color="auto" w:fill="auto"/>
            <w:noWrap/>
            <w:vAlign w:val="center"/>
            <w:hideMark/>
          </w:tcPr>
          <w:p w14:paraId="481FC7A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128</w:t>
            </w:r>
          </w:p>
        </w:tc>
        <w:tc>
          <w:tcPr>
            <w:tcW w:w="851" w:type="dxa"/>
            <w:tcBorders>
              <w:top w:val="nil"/>
              <w:left w:val="nil"/>
              <w:bottom w:val="single" w:sz="4" w:space="0" w:color="auto"/>
              <w:right w:val="single" w:sz="4" w:space="0" w:color="auto"/>
            </w:tcBorders>
            <w:shd w:val="clear" w:color="auto" w:fill="auto"/>
            <w:noWrap/>
            <w:vAlign w:val="center"/>
            <w:hideMark/>
          </w:tcPr>
          <w:p w14:paraId="063BC21E"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210</w:t>
            </w:r>
          </w:p>
        </w:tc>
        <w:tc>
          <w:tcPr>
            <w:tcW w:w="850" w:type="dxa"/>
            <w:tcBorders>
              <w:top w:val="nil"/>
              <w:left w:val="nil"/>
              <w:bottom w:val="single" w:sz="4" w:space="0" w:color="auto"/>
              <w:right w:val="single" w:sz="8" w:space="0" w:color="auto"/>
            </w:tcBorders>
            <w:shd w:val="clear" w:color="auto" w:fill="auto"/>
            <w:noWrap/>
            <w:vAlign w:val="center"/>
            <w:hideMark/>
          </w:tcPr>
          <w:p w14:paraId="3D92A7F4"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338</w:t>
            </w:r>
          </w:p>
        </w:tc>
      </w:tr>
      <w:tr w:rsidR="00476D60" w:rsidRPr="00BF1898" w14:paraId="046DB72D" w14:textId="77777777" w:rsidTr="00F83B44">
        <w:trPr>
          <w:trHeight w:val="288"/>
        </w:trPr>
        <w:tc>
          <w:tcPr>
            <w:tcW w:w="1135" w:type="dxa"/>
            <w:vMerge/>
            <w:tcBorders>
              <w:top w:val="nil"/>
              <w:left w:val="single" w:sz="4" w:space="0" w:color="auto"/>
              <w:bottom w:val="single" w:sz="4" w:space="0" w:color="auto"/>
              <w:right w:val="single" w:sz="4" w:space="0" w:color="auto"/>
            </w:tcBorders>
            <w:vAlign w:val="center"/>
            <w:hideMark/>
          </w:tcPr>
          <w:p w14:paraId="08A65CB4" w14:textId="77777777" w:rsidR="00476D60" w:rsidRPr="00BF1898" w:rsidRDefault="00476D60" w:rsidP="00F83B44">
            <w:pPr>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14:paraId="713F1D82" w14:textId="77777777" w:rsidR="00476D60" w:rsidRPr="00BF1898" w:rsidRDefault="00476D60" w:rsidP="00F83B44">
            <w:pPr>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Toukra</w:t>
            </w:r>
            <w:proofErr w:type="spellEnd"/>
          </w:p>
        </w:tc>
        <w:tc>
          <w:tcPr>
            <w:tcW w:w="850" w:type="dxa"/>
            <w:tcBorders>
              <w:top w:val="nil"/>
              <w:left w:val="nil"/>
              <w:bottom w:val="single" w:sz="4" w:space="0" w:color="auto"/>
              <w:right w:val="nil"/>
            </w:tcBorders>
            <w:shd w:val="clear" w:color="auto" w:fill="auto"/>
            <w:noWrap/>
            <w:vAlign w:val="center"/>
            <w:hideMark/>
          </w:tcPr>
          <w:p w14:paraId="1D5C064E"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E6A9E66"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0" w:type="dxa"/>
            <w:tcBorders>
              <w:top w:val="nil"/>
              <w:left w:val="nil"/>
              <w:bottom w:val="single" w:sz="4" w:space="0" w:color="auto"/>
              <w:right w:val="single" w:sz="4" w:space="0" w:color="auto"/>
            </w:tcBorders>
            <w:shd w:val="clear" w:color="auto" w:fill="auto"/>
            <w:noWrap/>
            <w:vAlign w:val="center"/>
            <w:hideMark/>
          </w:tcPr>
          <w:p w14:paraId="0B4B9483"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w:t>
            </w:r>
          </w:p>
        </w:tc>
        <w:tc>
          <w:tcPr>
            <w:tcW w:w="709" w:type="dxa"/>
            <w:tcBorders>
              <w:top w:val="nil"/>
              <w:left w:val="nil"/>
              <w:bottom w:val="single" w:sz="4" w:space="0" w:color="auto"/>
              <w:right w:val="single" w:sz="8" w:space="0" w:color="auto"/>
            </w:tcBorders>
            <w:shd w:val="clear" w:color="auto" w:fill="auto"/>
            <w:noWrap/>
            <w:vAlign w:val="center"/>
            <w:hideMark/>
          </w:tcPr>
          <w:p w14:paraId="6D8D16F7"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14:paraId="58B6F67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1" w:type="dxa"/>
            <w:tcBorders>
              <w:top w:val="nil"/>
              <w:left w:val="nil"/>
              <w:bottom w:val="single" w:sz="4" w:space="0" w:color="auto"/>
              <w:right w:val="single" w:sz="4" w:space="0" w:color="auto"/>
            </w:tcBorders>
            <w:shd w:val="clear" w:color="auto" w:fill="auto"/>
            <w:noWrap/>
            <w:vAlign w:val="center"/>
            <w:hideMark/>
          </w:tcPr>
          <w:p w14:paraId="7E1A336E"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10</w:t>
            </w:r>
          </w:p>
        </w:tc>
        <w:tc>
          <w:tcPr>
            <w:tcW w:w="1134" w:type="dxa"/>
            <w:tcBorders>
              <w:top w:val="nil"/>
              <w:left w:val="nil"/>
              <w:bottom w:val="single" w:sz="4" w:space="0" w:color="auto"/>
              <w:right w:val="single" w:sz="8" w:space="0" w:color="auto"/>
            </w:tcBorders>
            <w:shd w:val="clear" w:color="auto" w:fill="auto"/>
            <w:noWrap/>
            <w:vAlign w:val="center"/>
            <w:hideMark/>
          </w:tcPr>
          <w:p w14:paraId="4E33FAFF"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28</w:t>
            </w:r>
          </w:p>
        </w:tc>
        <w:tc>
          <w:tcPr>
            <w:tcW w:w="850" w:type="dxa"/>
            <w:tcBorders>
              <w:top w:val="nil"/>
              <w:left w:val="nil"/>
              <w:bottom w:val="single" w:sz="4" w:space="0" w:color="auto"/>
              <w:right w:val="single" w:sz="4" w:space="0" w:color="auto"/>
            </w:tcBorders>
            <w:shd w:val="clear" w:color="auto" w:fill="auto"/>
            <w:noWrap/>
            <w:vAlign w:val="center"/>
            <w:hideMark/>
          </w:tcPr>
          <w:p w14:paraId="3B30E22D"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128</w:t>
            </w:r>
          </w:p>
        </w:tc>
        <w:tc>
          <w:tcPr>
            <w:tcW w:w="851" w:type="dxa"/>
            <w:tcBorders>
              <w:top w:val="nil"/>
              <w:left w:val="nil"/>
              <w:bottom w:val="single" w:sz="4" w:space="0" w:color="auto"/>
              <w:right w:val="single" w:sz="4" w:space="0" w:color="auto"/>
            </w:tcBorders>
            <w:shd w:val="clear" w:color="auto" w:fill="auto"/>
            <w:noWrap/>
            <w:vAlign w:val="center"/>
            <w:hideMark/>
          </w:tcPr>
          <w:p w14:paraId="5D61B482"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70</w:t>
            </w:r>
          </w:p>
        </w:tc>
        <w:tc>
          <w:tcPr>
            <w:tcW w:w="850" w:type="dxa"/>
            <w:tcBorders>
              <w:top w:val="nil"/>
              <w:left w:val="nil"/>
              <w:bottom w:val="single" w:sz="4" w:space="0" w:color="auto"/>
              <w:right w:val="single" w:sz="8" w:space="0" w:color="auto"/>
            </w:tcBorders>
            <w:shd w:val="clear" w:color="auto" w:fill="auto"/>
            <w:noWrap/>
            <w:vAlign w:val="center"/>
            <w:hideMark/>
          </w:tcPr>
          <w:p w14:paraId="0856C91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198</w:t>
            </w:r>
          </w:p>
        </w:tc>
      </w:tr>
      <w:tr w:rsidR="00476D60" w:rsidRPr="00BF1898" w14:paraId="1AC06173" w14:textId="77777777" w:rsidTr="00F83B44">
        <w:trPr>
          <w:trHeight w:val="288"/>
        </w:trPr>
        <w:tc>
          <w:tcPr>
            <w:tcW w:w="11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18ECD4" w14:textId="77777777" w:rsidR="00476D60" w:rsidRPr="00BF1898" w:rsidRDefault="00476D60" w:rsidP="00F83B44">
            <w:pPr>
              <w:jc w:val="center"/>
              <w:rPr>
                <w:rFonts w:ascii="Calibri" w:hAnsi="Calibri" w:cs="Calibri"/>
                <w:b/>
                <w:bCs/>
                <w:color w:val="000000"/>
                <w:sz w:val="18"/>
                <w:szCs w:val="18"/>
                <w:lang w:val="en-GB" w:eastAsia="en-GB"/>
              </w:rPr>
            </w:pPr>
            <w:proofErr w:type="spellStart"/>
            <w:r w:rsidRPr="00BF1898">
              <w:rPr>
                <w:rFonts w:ascii="Calibri" w:hAnsi="Calibri" w:cs="Calibri"/>
                <w:b/>
                <w:bCs/>
                <w:color w:val="000000"/>
                <w:sz w:val="18"/>
                <w:szCs w:val="18"/>
                <w:lang w:val="en-GB" w:eastAsia="en-GB"/>
              </w:rPr>
              <w:t>Barh</w:t>
            </w:r>
            <w:proofErr w:type="spellEnd"/>
            <w:r w:rsidRPr="00BF1898">
              <w:rPr>
                <w:rFonts w:ascii="Calibri" w:hAnsi="Calibri" w:cs="Calibri"/>
                <w:b/>
                <w:bCs/>
                <w:color w:val="000000"/>
                <w:sz w:val="18"/>
                <w:szCs w:val="18"/>
                <w:lang w:val="en-GB" w:eastAsia="en-GB"/>
              </w:rPr>
              <w:t xml:space="preserve"> El </w:t>
            </w:r>
            <w:proofErr w:type="spellStart"/>
            <w:r w:rsidRPr="00BF1898">
              <w:rPr>
                <w:rFonts w:ascii="Calibri" w:hAnsi="Calibri" w:cs="Calibri"/>
                <w:b/>
                <w:bCs/>
                <w:color w:val="000000"/>
                <w:sz w:val="18"/>
                <w:szCs w:val="18"/>
                <w:lang w:val="en-GB" w:eastAsia="en-GB"/>
              </w:rPr>
              <w:t>gazal</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57422C53" w14:textId="77777777" w:rsidR="00476D60" w:rsidRPr="00BF1898" w:rsidRDefault="00476D60" w:rsidP="00F83B44">
            <w:pPr>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Chaddra</w:t>
            </w:r>
            <w:proofErr w:type="spellEnd"/>
          </w:p>
        </w:tc>
        <w:tc>
          <w:tcPr>
            <w:tcW w:w="850" w:type="dxa"/>
            <w:tcBorders>
              <w:top w:val="nil"/>
              <w:left w:val="nil"/>
              <w:bottom w:val="single" w:sz="4" w:space="0" w:color="auto"/>
              <w:right w:val="nil"/>
            </w:tcBorders>
            <w:shd w:val="clear" w:color="auto" w:fill="auto"/>
            <w:noWrap/>
            <w:vAlign w:val="center"/>
            <w:hideMark/>
          </w:tcPr>
          <w:p w14:paraId="20AB458C"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597C15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850" w:type="dxa"/>
            <w:tcBorders>
              <w:top w:val="nil"/>
              <w:left w:val="nil"/>
              <w:bottom w:val="single" w:sz="4" w:space="0" w:color="auto"/>
              <w:right w:val="single" w:sz="4" w:space="0" w:color="auto"/>
            </w:tcBorders>
            <w:shd w:val="clear" w:color="auto" w:fill="auto"/>
            <w:noWrap/>
            <w:vAlign w:val="center"/>
            <w:hideMark/>
          </w:tcPr>
          <w:p w14:paraId="09E1B46D"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32D37072"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14:paraId="748D9DC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1" w:type="dxa"/>
            <w:tcBorders>
              <w:top w:val="nil"/>
              <w:left w:val="nil"/>
              <w:bottom w:val="single" w:sz="4" w:space="0" w:color="auto"/>
              <w:right w:val="single" w:sz="4" w:space="0" w:color="auto"/>
            </w:tcBorders>
            <w:shd w:val="clear" w:color="auto" w:fill="auto"/>
            <w:noWrap/>
            <w:vAlign w:val="center"/>
            <w:hideMark/>
          </w:tcPr>
          <w:p w14:paraId="77E9D4DE"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60984E3E"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30</w:t>
            </w:r>
          </w:p>
        </w:tc>
        <w:tc>
          <w:tcPr>
            <w:tcW w:w="850" w:type="dxa"/>
            <w:tcBorders>
              <w:top w:val="nil"/>
              <w:left w:val="nil"/>
              <w:bottom w:val="single" w:sz="4" w:space="0" w:color="auto"/>
              <w:right w:val="single" w:sz="4" w:space="0" w:color="auto"/>
            </w:tcBorders>
            <w:shd w:val="clear" w:color="auto" w:fill="auto"/>
            <w:noWrap/>
            <w:vAlign w:val="center"/>
            <w:hideMark/>
          </w:tcPr>
          <w:p w14:paraId="4DFE9BA1"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125</w:t>
            </w:r>
          </w:p>
        </w:tc>
        <w:tc>
          <w:tcPr>
            <w:tcW w:w="851" w:type="dxa"/>
            <w:tcBorders>
              <w:top w:val="nil"/>
              <w:left w:val="nil"/>
              <w:bottom w:val="single" w:sz="4" w:space="0" w:color="auto"/>
              <w:right w:val="single" w:sz="4" w:space="0" w:color="auto"/>
            </w:tcBorders>
            <w:shd w:val="clear" w:color="auto" w:fill="auto"/>
            <w:noWrap/>
            <w:vAlign w:val="center"/>
            <w:hideMark/>
          </w:tcPr>
          <w:p w14:paraId="3BA55A09"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517BF059"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150</w:t>
            </w:r>
          </w:p>
        </w:tc>
      </w:tr>
      <w:tr w:rsidR="00476D60" w:rsidRPr="00BF1898" w14:paraId="498EB69B" w14:textId="77777777" w:rsidTr="00F83B44">
        <w:trPr>
          <w:trHeight w:val="288"/>
        </w:trPr>
        <w:tc>
          <w:tcPr>
            <w:tcW w:w="1135" w:type="dxa"/>
            <w:vMerge/>
            <w:tcBorders>
              <w:top w:val="nil"/>
              <w:left w:val="single" w:sz="4" w:space="0" w:color="auto"/>
              <w:bottom w:val="single" w:sz="4" w:space="0" w:color="000000"/>
              <w:right w:val="single" w:sz="4" w:space="0" w:color="auto"/>
            </w:tcBorders>
            <w:vAlign w:val="center"/>
            <w:hideMark/>
          </w:tcPr>
          <w:p w14:paraId="61672775" w14:textId="77777777" w:rsidR="00476D60" w:rsidRPr="00BF1898" w:rsidRDefault="00476D60" w:rsidP="00F83B44">
            <w:pPr>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000000" w:fill="FFFFFF"/>
            <w:noWrap/>
            <w:vAlign w:val="center"/>
            <w:hideMark/>
          </w:tcPr>
          <w:p w14:paraId="4D619390" w14:textId="77777777" w:rsidR="00476D60" w:rsidRPr="00BF1898" w:rsidRDefault="00476D60" w:rsidP="00F83B44">
            <w:pP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Michemire</w:t>
            </w:r>
          </w:p>
        </w:tc>
        <w:tc>
          <w:tcPr>
            <w:tcW w:w="850" w:type="dxa"/>
            <w:tcBorders>
              <w:top w:val="nil"/>
              <w:left w:val="nil"/>
              <w:bottom w:val="single" w:sz="4" w:space="0" w:color="auto"/>
              <w:right w:val="nil"/>
            </w:tcBorders>
            <w:shd w:val="clear" w:color="auto" w:fill="auto"/>
            <w:noWrap/>
            <w:vAlign w:val="center"/>
            <w:hideMark/>
          </w:tcPr>
          <w:p w14:paraId="3366CFE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13</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A42D3E5"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w:t>
            </w:r>
          </w:p>
        </w:tc>
        <w:tc>
          <w:tcPr>
            <w:tcW w:w="850" w:type="dxa"/>
            <w:tcBorders>
              <w:top w:val="nil"/>
              <w:left w:val="nil"/>
              <w:bottom w:val="single" w:sz="4" w:space="0" w:color="auto"/>
              <w:right w:val="single" w:sz="4" w:space="0" w:color="auto"/>
            </w:tcBorders>
            <w:shd w:val="clear" w:color="auto" w:fill="auto"/>
            <w:noWrap/>
            <w:vAlign w:val="center"/>
            <w:hideMark/>
          </w:tcPr>
          <w:p w14:paraId="40C7BF26"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49FCEF2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0" w:type="dxa"/>
            <w:tcBorders>
              <w:top w:val="nil"/>
              <w:left w:val="nil"/>
              <w:bottom w:val="single" w:sz="4" w:space="0" w:color="auto"/>
              <w:right w:val="single" w:sz="4" w:space="0" w:color="auto"/>
            </w:tcBorders>
            <w:shd w:val="clear" w:color="auto" w:fill="auto"/>
            <w:noWrap/>
            <w:vAlign w:val="center"/>
            <w:hideMark/>
          </w:tcPr>
          <w:p w14:paraId="077020B6"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17</w:t>
            </w:r>
          </w:p>
        </w:tc>
        <w:tc>
          <w:tcPr>
            <w:tcW w:w="851" w:type="dxa"/>
            <w:tcBorders>
              <w:top w:val="nil"/>
              <w:left w:val="nil"/>
              <w:bottom w:val="single" w:sz="4" w:space="0" w:color="auto"/>
              <w:right w:val="single" w:sz="4" w:space="0" w:color="auto"/>
            </w:tcBorders>
            <w:shd w:val="clear" w:color="auto" w:fill="auto"/>
            <w:noWrap/>
            <w:vAlign w:val="center"/>
            <w:hideMark/>
          </w:tcPr>
          <w:p w14:paraId="73A3A2A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67A3FE3D"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22</w:t>
            </w:r>
          </w:p>
        </w:tc>
        <w:tc>
          <w:tcPr>
            <w:tcW w:w="850" w:type="dxa"/>
            <w:tcBorders>
              <w:top w:val="nil"/>
              <w:left w:val="nil"/>
              <w:bottom w:val="single" w:sz="4" w:space="0" w:color="auto"/>
              <w:right w:val="single" w:sz="4" w:space="0" w:color="auto"/>
            </w:tcBorders>
            <w:shd w:val="clear" w:color="auto" w:fill="auto"/>
            <w:noWrap/>
            <w:vAlign w:val="center"/>
            <w:hideMark/>
          </w:tcPr>
          <w:p w14:paraId="195D6A11"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83</w:t>
            </w:r>
          </w:p>
        </w:tc>
        <w:tc>
          <w:tcPr>
            <w:tcW w:w="851" w:type="dxa"/>
            <w:tcBorders>
              <w:top w:val="nil"/>
              <w:left w:val="nil"/>
              <w:bottom w:val="single" w:sz="4" w:space="0" w:color="auto"/>
              <w:right w:val="single" w:sz="4" w:space="0" w:color="auto"/>
            </w:tcBorders>
            <w:shd w:val="clear" w:color="auto" w:fill="auto"/>
            <w:noWrap/>
            <w:vAlign w:val="center"/>
            <w:hideMark/>
          </w:tcPr>
          <w:p w14:paraId="2FBAC3FA"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2AFD1155"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108</w:t>
            </w:r>
          </w:p>
        </w:tc>
      </w:tr>
      <w:tr w:rsidR="00476D60" w:rsidRPr="00BF1898" w14:paraId="1CDC3F5E" w14:textId="77777777" w:rsidTr="00F83B44">
        <w:trPr>
          <w:trHeight w:val="288"/>
        </w:trPr>
        <w:tc>
          <w:tcPr>
            <w:tcW w:w="1135" w:type="dxa"/>
            <w:vMerge/>
            <w:tcBorders>
              <w:top w:val="nil"/>
              <w:left w:val="single" w:sz="4" w:space="0" w:color="auto"/>
              <w:bottom w:val="single" w:sz="4" w:space="0" w:color="000000"/>
              <w:right w:val="single" w:sz="4" w:space="0" w:color="auto"/>
            </w:tcBorders>
            <w:vAlign w:val="center"/>
            <w:hideMark/>
          </w:tcPr>
          <w:p w14:paraId="03003227" w14:textId="77777777" w:rsidR="00476D60" w:rsidRPr="00BF1898" w:rsidRDefault="00476D60" w:rsidP="00F83B44">
            <w:pPr>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000000" w:fill="FFFFFF"/>
            <w:noWrap/>
            <w:vAlign w:val="center"/>
            <w:hideMark/>
          </w:tcPr>
          <w:p w14:paraId="3990AD7A" w14:textId="77777777" w:rsidR="00476D60" w:rsidRPr="00BF1898" w:rsidRDefault="00476D60" w:rsidP="00F83B44">
            <w:pPr>
              <w:rPr>
                <w:rFonts w:ascii="Calibri" w:hAnsi="Calibri" w:cs="Calibri"/>
                <w:color w:val="000000"/>
                <w:sz w:val="18"/>
                <w:szCs w:val="18"/>
                <w:lang w:val="en-GB" w:eastAsia="en-GB"/>
              </w:rPr>
            </w:pPr>
            <w:proofErr w:type="spellStart"/>
            <w:r w:rsidRPr="00BF1898">
              <w:rPr>
                <w:rFonts w:ascii="Calibri" w:hAnsi="Calibri" w:cs="Calibri"/>
                <w:color w:val="000000"/>
                <w:sz w:val="18"/>
                <w:szCs w:val="18"/>
                <w:lang w:val="en-GB" w:eastAsia="en-GB"/>
              </w:rPr>
              <w:t>Moussoro</w:t>
            </w:r>
            <w:proofErr w:type="spellEnd"/>
          </w:p>
        </w:tc>
        <w:tc>
          <w:tcPr>
            <w:tcW w:w="850" w:type="dxa"/>
            <w:tcBorders>
              <w:top w:val="nil"/>
              <w:left w:val="nil"/>
              <w:bottom w:val="single" w:sz="4" w:space="0" w:color="auto"/>
              <w:right w:val="nil"/>
            </w:tcBorders>
            <w:shd w:val="clear" w:color="auto" w:fill="auto"/>
            <w:noWrap/>
            <w:vAlign w:val="center"/>
            <w:hideMark/>
          </w:tcPr>
          <w:p w14:paraId="7E5BFAB5"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31</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9ADFD59"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9</w:t>
            </w:r>
          </w:p>
        </w:tc>
        <w:tc>
          <w:tcPr>
            <w:tcW w:w="850" w:type="dxa"/>
            <w:tcBorders>
              <w:top w:val="nil"/>
              <w:left w:val="nil"/>
              <w:bottom w:val="single" w:sz="4" w:space="0" w:color="auto"/>
              <w:right w:val="single" w:sz="4" w:space="0" w:color="auto"/>
            </w:tcBorders>
            <w:shd w:val="clear" w:color="auto" w:fill="auto"/>
            <w:noWrap/>
            <w:vAlign w:val="center"/>
            <w:hideMark/>
          </w:tcPr>
          <w:p w14:paraId="12DD0219"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43A6267D"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10</w:t>
            </w:r>
          </w:p>
        </w:tc>
        <w:tc>
          <w:tcPr>
            <w:tcW w:w="850" w:type="dxa"/>
            <w:tcBorders>
              <w:top w:val="nil"/>
              <w:left w:val="nil"/>
              <w:bottom w:val="single" w:sz="4" w:space="0" w:color="auto"/>
              <w:right w:val="single" w:sz="4" w:space="0" w:color="auto"/>
            </w:tcBorders>
            <w:shd w:val="clear" w:color="auto" w:fill="auto"/>
            <w:noWrap/>
            <w:vAlign w:val="center"/>
            <w:hideMark/>
          </w:tcPr>
          <w:p w14:paraId="581F661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47</w:t>
            </w:r>
          </w:p>
        </w:tc>
        <w:tc>
          <w:tcPr>
            <w:tcW w:w="851" w:type="dxa"/>
            <w:tcBorders>
              <w:top w:val="nil"/>
              <w:left w:val="nil"/>
              <w:bottom w:val="single" w:sz="4" w:space="0" w:color="auto"/>
              <w:right w:val="single" w:sz="4" w:space="0" w:color="auto"/>
            </w:tcBorders>
            <w:shd w:val="clear" w:color="auto" w:fill="auto"/>
            <w:noWrap/>
            <w:vAlign w:val="center"/>
            <w:hideMark/>
          </w:tcPr>
          <w:p w14:paraId="479C9B02"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5DF371F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52</w:t>
            </w:r>
          </w:p>
        </w:tc>
        <w:tc>
          <w:tcPr>
            <w:tcW w:w="850" w:type="dxa"/>
            <w:tcBorders>
              <w:top w:val="nil"/>
              <w:left w:val="nil"/>
              <w:bottom w:val="single" w:sz="4" w:space="0" w:color="auto"/>
              <w:right w:val="single" w:sz="4" w:space="0" w:color="auto"/>
            </w:tcBorders>
            <w:shd w:val="clear" w:color="auto" w:fill="auto"/>
            <w:noWrap/>
            <w:vAlign w:val="center"/>
            <w:hideMark/>
          </w:tcPr>
          <w:p w14:paraId="5F68138E"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233</w:t>
            </w:r>
          </w:p>
        </w:tc>
        <w:tc>
          <w:tcPr>
            <w:tcW w:w="851" w:type="dxa"/>
            <w:tcBorders>
              <w:top w:val="nil"/>
              <w:left w:val="nil"/>
              <w:bottom w:val="single" w:sz="4" w:space="0" w:color="auto"/>
              <w:right w:val="single" w:sz="4" w:space="0" w:color="auto"/>
            </w:tcBorders>
            <w:shd w:val="clear" w:color="auto" w:fill="auto"/>
            <w:noWrap/>
            <w:vAlign w:val="center"/>
            <w:hideMark/>
          </w:tcPr>
          <w:p w14:paraId="36C30DF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73FBC5B2"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258</w:t>
            </w:r>
          </w:p>
        </w:tc>
      </w:tr>
      <w:tr w:rsidR="00476D60" w:rsidRPr="00BF1898" w14:paraId="323038CC" w14:textId="77777777" w:rsidTr="00F83B44">
        <w:trPr>
          <w:trHeight w:val="288"/>
        </w:trPr>
        <w:tc>
          <w:tcPr>
            <w:tcW w:w="1135" w:type="dxa"/>
            <w:vMerge/>
            <w:tcBorders>
              <w:top w:val="nil"/>
              <w:left w:val="single" w:sz="4" w:space="0" w:color="auto"/>
              <w:bottom w:val="single" w:sz="4" w:space="0" w:color="000000"/>
              <w:right w:val="single" w:sz="4" w:space="0" w:color="auto"/>
            </w:tcBorders>
            <w:vAlign w:val="center"/>
            <w:hideMark/>
          </w:tcPr>
          <w:p w14:paraId="4877BCCF" w14:textId="77777777" w:rsidR="00476D60" w:rsidRPr="00BF1898" w:rsidRDefault="00476D60" w:rsidP="00F83B44">
            <w:pPr>
              <w:rPr>
                <w:rFonts w:ascii="Calibri" w:hAnsi="Calibri" w:cs="Calibri"/>
                <w:b/>
                <w:bCs/>
                <w:color w:val="000000"/>
                <w:sz w:val="18"/>
                <w:szCs w:val="18"/>
                <w:lang w:val="en-GB" w:eastAsia="en-GB"/>
              </w:rPr>
            </w:pPr>
          </w:p>
        </w:tc>
        <w:tc>
          <w:tcPr>
            <w:tcW w:w="1134" w:type="dxa"/>
            <w:tcBorders>
              <w:top w:val="nil"/>
              <w:left w:val="nil"/>
              <w:bottom w:val="single" w:sz="4" w:space="0" w:color="auto"/>
              <w:right w:val="single" w:sz="4" w:space="0" w:color="auto"/>
            </w:tcBorders>
            <w:shd w:val="clear" w:color="000000" w:fill="FFFFFF"/>
            <w:noWrap/>
            <w:vAlign w:val="center"/>
            <w:hideMark/>
          </w:tcPr>
          <w:p w14:paraId="34932BDD" w14:textId="77777777" w:rsidR="00476D60" w:rsidRPr="00BF1898" w:rsidRDefault="00476D60" w:rsidP="00F83B44">
            <w:pP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Salal</w:t>
            </w:r>
          </w:p>
        </w:tc>
        <w:tc>
          <w:tcPr>
            <w:tcW w:w="850" w:type="dxa"/>
            <w:tcBorders>
              <w:top w:val="nil"/>
              <w:left w:val="nil"/>
              <w:bottom w:val="single" w:sz="4" w:space="0" w:color="auto"/>
              <w:right w:val="nil"/>
            </w:tcBorders>
            <w:shd w:val="clear" w:color="auto" w:fill="auto"/>
            <w:noWrap/>
            <w:vAlign w:val="center"/>
            <w:hideMark/>
          </w:tcPr>
          <w:p w14:paraId="0D068EE3"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14</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FA44686"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4</w:t>
            </w:r>
          </w:p>
        </w:tc>
        <w:tc>
          <w:tcPr>
            <w:tcW w:w="850" w:type="dxa"/>
            <w:tcBorders>
              <w:top w:val="nil"/>
              <w:left w:val="nil"/>
              <w:bottom w:val="single" w:sz="4" w:space="0" w:color="auto"/>
              <w:right w:val="single" w:sz="4" w:space="0" w:color="auto"/>
            </w:tcBorders>
            <w:shd w:val="clear" w:color="auto" w:fill="auto"/>
            <w:noWrap/>
            <w:vAlign w:val="center"/>
            <w:hideMark/>
          </w:tcPr>
          <w:p w14:paraId="6C325506"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61F4B8EB"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850" w:type="dxa"/>
            <w:tcBorders>
              <w:top w:val="nil"/>
              <w:left w:val="nil"/>
              <w:bottom w:val="single" w:sz="4" w:space="0" w:color="auto"/>
              <w:right w:val="single" w:sz="4" w:space="0" w:color="auto"/>
            </w:tcBorders>
            <w:shd w:val="clear" w:color="auto" w:fill="auto"/>
            <w:noWrap/>
            <w:vAlign w:val="center"/>
            <w:hideMark/>
          </w:tcPr>
          <w:p w14:paraId="04670563"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1" w:type="dxa"/>
            <w:tcBorders>
              <w:top w:val="nil"/>
              <w:left w:val="nil"/>
              <w:bottom w:val="single" w:sz="4" w:space="0" w:color="auto"/>
              <w:right w:val="single" w:sz="4" w:space="0" w:color="auto"/>
            </w:tcBorders>
            <w:shd w:val="clear" w:color="auto" w:fill="auto"/>
            <w:noWrap/>
            <w:vAlign w:val="center"/>
            <w:hideMark/>
          </w:tcPr>
          <w:p w14:paraId="7F465DA9"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49840D29"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23</w:t>
            </w:r>
          </w:p>
        </w:tc>
        <w:tc>
          <w:tcPr>
            <w:tcW w:w="850" w:type="dxa"/>
            <w:tcBorders>
              <w:top w:val="nil"/>
              <w:left w:val="nil"/>
              <w:bottom w:val="single" w:sz="4" w:space="0" w:color="auto"/>
              <w:right w:val="single" w:sz="4" w:space="0" w:color="auto"/>
            </w:tcBorders>
            <w:shd w:val="clear" w:color="auto" w:fill="auto"/>
            <w:noWrap/>
            <w:vAlign w:val="center"/>
            <w:hideMark/>
          </w:tcPr>
          <w:p w14:paraId="69F9C5F8"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92</w:t>
            </w:r>
          </w:p>
        </w:tc>
        <w:tc>
          <w:tcPr>
            <w:tcW w:w="851" w:type="dxa"/>
            <w:tcBorders>
              <w:top w:val="nil"/>
              <w:left w:val="nil"/>
              <w:bottom w:val="single" w:sz="4" w:space="0" w:color="auto"/>
              <w:right w:val="single" w:sz="4" w:space="0" w:color="auto"/>
            </w:tcBorders>
            <w:shd w:val="clear" w:color="auto" w:fill="auto"/>
            <w:noWrap/>
            <w:vAlign w:val="center"/>
            <w:hideMark/>
          </w:tcPr>
          <w:p w14:paraId="2E2CA066"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011232B7"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117</w:t>
            </w:r>
          </w:p>
        </w:tc>
      </w:tr>
      <w:tr w:rsidR="00476D60" w:rsidRPr="00BF1898" w14:paraId="5EBB8F4A" w14:textId="77777777" w:rsidTr="00F83B44">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EFFCB4A" w14:textId="77777777" w:rsidR="00476D60" w:rsidRPr="00BF1898" w:rsidRDefault="00476D60" w:rsidP="00F83B44">
            <w:pPr>
              <w:jc w:val="center"/>
              <w:rPr>
                <w:rFonts w:ascii="Calibri" w:hAnsi="Calibri" w:cs="Calibri"/>
                <w:b/>
                <w:bCs/>
                <w:color w:val="000000"/>
                <w:sz w:val="18"/>
                <w:szCs w:val="18"/>
                <w:lang w:val="en-GB" w:eastAsia="en-GB"/>
              </w:rPr>
            </w:pPr>
            <w:proofErr w:type="spellStart"/>
            <w:r w:rsidRPr="00BF1898">
              <w:rPr>
                <w:rFonts w:ascii="Calibri" w:hAnsi="Calibri" w:cs="Calibri"/>
                <w:b/>
                <w:bCs/>
                <w:color w:val="000000"/>
                <w:sz w:val="18"/>
                <w:szCs w:val="18"/>
                <w:lang w:val="en-GB" w:eastAsia="en-GB"/>
              </w:rPr>
              <w:t>Batha</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3626D1C7" w14:textId="77777777" w:rsidR="00476D60" w:rsidRPr="00BF1898" w:rsidRDefault="00476D60" w:rsidP="00F83B44">
            <w:pP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Yao</w:t>
            </w:r>
          </w:p>
        </w:tc>
        <w:tc>
          <w:tcPr>
            <w:tcW w:w="850" w:type="dxa"/>
            <w:tcBorders>
              <w:top w:val="nil"/>
              <w:left w:val="nil"/>
              <w:bottom w:val="single" w:sz="4" w:space="0" w:color="auto"/>
              <w:right w:val="nil"/>
            </w:tcBorders>
            <w:shd w:val="clear" w:color="auto" w:fill="auto"/>
            <w:noWrap/>
            <w:vAlign w:val="center"/>
            <w:hideMark/>
          </w:tcPr>
          <w:p w14:paraId="0A4A9324"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18</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9FB895E"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850" w:type="dxa"/>
            <w:tcBorders>
              <w:top w:val="nil"/>
              <w:left w:val="nil"/>
              <w:bottom w:val="single" w:sz="4" w:space="0" w:color="auto"/>
              <w:right w:val="single" w:sz="4" w:space="0" w:color="auto"/>
            </w:tcBorders>
            <w:shd w:val="clear" w:color="auto" w:fill="auto"/>
            <w:noWrap/>
            <w:vAlign w:val="center"/>
            <w:hideMark/>
          </w:tcPr>
          <w:p w14:paraId="71D1CB50"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w:t>
            </w:r>
          </w:p>
        </w:tc>
        <w:tc>
          <w:tcPr>
            <w:tcW w:w="709" w:type="dxa"/>
            <w:tcBorders>
              <w:top w:val="nil"/>
              <w:left w:val="nil"/>
              <w:bottom w:val="single" w:sz="4" w:space="0" w:color="auto"/>
              <w:right w:val="single" w:sz="8" w:space="0" w:color="auto"/>
            </w:tcBorders>
            <w:shd w:val="clear" w:color="auto" w:fill="auto"/>
            <w:noWrap/>
            <w:vAlign w:val="center"/>
            <w:hideMark/>
          </w:tcPr>
          <w:p w14:paraId="1871B90C"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14:paraId="5DD4B3EF"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1" w:type="dxa"/>
            <w:tcBorders>
              <w:top w:val="nil"/>
              <w:left w:val="nil"/>
              <w:bottom w:val="single" w:sz="4" w:space="0" w:color="auto"/>
              <w:right w:val="single" w:sz="4" w:space="0" w:color="auto"/>
            </w:tcBorders>
            <w:shd w:val="clear" w:color="auto" w:fill="auto"/>
            <w:noWrap/>
            <w:vAlign w:val="center"/>
            <w:hideMark/>
          </w:tcPr>
          <w:p w14:paraId="4407C8F7"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14:paraId="79B59035"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30</w:t>
            </w:r>
          </w:p>
        </w:tc>
        <w:tc>
          <w:tcPr>
            <w:tcW w:w="850" w:type="dxa"/>
            <w:tcBorders>
              <w:top w:val="nil"/>
              <w:left w:val="nil"/>
              <w:bottom w:val="single" w:sz="4" w:space="0" w:color="auto"/>
              <w:right w:val="single" w:sz="4" w:space="0" w:color="auto"/>
            </w:tcBorders>
            <w:shd w:val="clear" w:color="auto" w:fill="auto"/>
            <w:noWrap/>
            <w:vAlign w:val="center"/>
            <w:hideMark/>
          </w:tcPr>
          <w:p w14:paraId="456A3159"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125</w:t>
            </w:r>
          </w:p>
        </w:tc>
        <w:tc>
          <w:tcPr>
            <w:tcW w:w="851" w:type="dxa"/>
            <w:tcBorders>
              <w:top w:val="nil"/>
              <w:left w:val="nil"/>
              <w:bottom w:val="single" w:sz="4" w:space="0" w:color="auto"/>
              <w:right w:val="single" w:sz="4" w:space="0" w:color="auto"/>
            </w:tcBorders>
            <w:shd w:val="clear" w:color="auto" w:fill="auto"/>
            <w:noWrap/>
            <w:vAlign w:val="center"/>
            <w:hideMark/>
          </w:tcPr>
          <w:p w14:paraId="15F3F2FC"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25</w:t>
            </w:r>
          </w:p>
        </w:tc>
        <w:tc>
          <w:tcPr>
            <w:tcW w:w="850" w:type="dxa"/>
            <w:tcBorders>
              <w:top w:val="nil"/>
              <w:left w:val="nil"/>
              <w:bottom w:val="single" w:sz="4" w:space="0" w:color="auto"/>
              <w:right w:val="single" w:sz="8" w:space="0" w:color="auto"/>
            </w:tcBorders>
            <w:shd w:val="clear" w:color="auto" w:fill="auto"/>
            <w:noWrap/>
            <w:vAlign w:val="center"/>
            <w:hideMark/>
          </w:tcPr>
          <w:p w14:paraId="4ABD643F" w14:textId="77777777" w:rsidR="00476D60" w:rsidRPr="00BF1898" w:rsidRDefault="00476D60" w:rsidP="00F83B44">
            <w:pPr>
              <w:jc w:val="center"/>
              <w:rPr>
                <w:rFonts w:ascii="Calibri" w:hAnsi="Calibri" w:cs="Calibri"/>
                <w:color w:val="000000"/>
                <w:sz w:val="18"/>
                <w:szCs w:val="18"/>
                <w:lang w:val="en-GB" w:eastAsia="en-GB"/>
              </w:rPr>
            </w:pPr>
            <w:r w:rsidRPr="00BF1898">
              <w:rPr>
                <w:rFonts w:ascii="Calibri" w:hAnsi="Calibri" w:cs="Calibri"/>
                <w:color w:val="000000"/>
                <w:sz w:val="18"/>
                <w:szCs w:val="18"/>
                <w:lang w:val="en-GB" w:eastAsia="en-GB"/>
              </w:rPr>
              <w:t>150</w:t>
            </w:r>
          </w:p>
        </w:tc>
      </w:tr>
      <w:tr w:rsidR="00476D60" w:rsidRPr="00BF1898" w14:paraId="7127438B" w14:textId="77777777" w:rsidTr="00F83B44">
        <w:trPr>
          <w:trHeight w:val="300"/>
        </w:trPr>
        <w:tc>
          <w:tcPr>
            <w:tcW w:w="1135" w:type="dxa"/>
            <w:tcBorders>
              <w:top w:val="nil"/>
              <w:left w:val="single" w:sz="4" w:space="0" w:color="auto"/>
              <w:bottom w:val="single" w:sz="4" w:space="0" w:color="auto"/>
              <w:right w:val="single" w:sz="4" w:space="0" w:color="auto"/>
            </w:tcBorders>
            <w:shd w:val="clear" w:color="000000" w:fill="92D050"/>
            <w:noWrap/>
            <w:vAlign w:val="center"/>
            <w:hideMark/>
          </w:tcPr>
          <w:p w14:paraId="5C74F1E2"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TOTAL</w:t>
            </w:r>
          </w:p>
        </w:tc>
        <w:tc>
          <w:tcPr>
            <w:tcW w:w="1134" w:type="dxa"/>
            <w:tcBorders>
              <w:top w:val="nil"/>
              <w:left w:val="nil"/>
              <w:bottom w:val="single" w:sz="4" w:space="0" w:color="auto"/>
              <w:right w:val="single" w:sz="4" w:space="0" w:color="auto"/>
            </w:tcBorders>
            <w:shd w:val="clear" w:color="000000" w:fill="92D050"/>
            <w:noWrap/>
            <w:vAlign w:val="center"/>
            <w:hideMark/>
          </w:tcPr>
          <w:p w14:paraId="0D704971"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27 DS</w:t>
            </w:r>
          </w:p>
        </w:tc>
        <w:tc>
          <w:tcPr>
            <w:tcW w:w="850" w:type="dxa"/>
            <w:tcBorders>
              <w:top w:val="nil"/>
              <w:left w:val="nil"/>
              <w:bottom w:val="single" w:sz="4" w:space="0" w:color="auto"/>
              <w:right w:val="nil"/>
            </w:tcBorders>
            <w:shd w:val="clear" w:color="000000" w:fill="92D050"/>
            <w:noWrap/>
            <w:vAlign w:val="center"/>
            <w:hideMark/>
          </w:tcPr>
          <w:p w14:paraId="27BE1B77"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435</w:t>
            </w:r>
          </w:p>
        </w:tc>
        <w:tc>
          <w:tcPr>
            <w:tcW w:w="851" w:type="dxa"/>
            <w:tcBorders>
              <w:top w:val="nil"/>
              <w:left w:val="single" w:sz="8" w:space="0" w:color="auto"/>
              <w:bottom w:val="single" w:sz="8" w:space="0" w:color="auto"/>
              <w:right w:val="single" w:sz="4" w:space="0" w:color="auto"/>
            </w:tcBorders>
            <w:shd w:val="clear" w:color="000000" w:fill="92D050"/>
            <w:noWrap/>
            <w:vAlign w:val="center"/>
            <w:hideMark/>
          </w:tcPr>
          <w:p w14:paraId="43306C89"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103</w:t>
            </w:r>
          </w:p>
        </w:tc>
        <w:tc>
          <w:tcPr>
            <w:tcW w:w="850" w:type="dxa"/>
            <w:tcBorders>
              <w:top w:val="nil"/>
              <w:left w:val="nil"/>
              <w:bottom w:val="single" w:sz="8" w:space="0" w:color="auto"/>
              <w:right w:val="single" w:sz="4" w:space="0" w:color="auto"/>
            </w:tcBorders>
            <w:shd w:val="clear" w:color="000000" w:fill="92D050"/>
            <w:noWrap/>
            <w:vAlign w:val="center"/>
            <w:hideMark/>
          </w:tcPr>
          <w:p w14:paraId="33C0A879"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42</w:t>
            </w:r>
          </w:p>
        </w:tc>
        <w:tc>
          <w:tcPr>
            <w:tcW w:w="709" w:type="dxa"/>
            <w:tcBorders>
              <w:top w:val="nil"/>
              <w:left w:val="nil"/>
              <w:bottom w:val="single" w:sz="8" w:space="0" w:color="auto"/>
              <w:right w:val="single" w:sz="8" w:space="0" w:color="auto"/>
            </w:tcBorders>
            <w:shd w:val="clear" w:color="000000" w:fill="92D050"/>
            <w:noWrap/>
            <w:vAlign w:val="center"/>
            <w:hideMark/>
          </w:tcPr>
          <w:p w14:paraId="010C0898"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145</w:t>
            </w:r>
          </w:p>
        </w:tc>
        <w:tc>
          <w:tcPr>
            <w:tcW w:w="850" w:type="dxa"/>
            <w:tcBorders>
              <w:top w:val="nil"/>
              <w:left w:val="nil"/>
              <w:bottom w:val="single" w:sz="8" w:space="0" w:color="auto"/>
              <w:right w:val="single" w:sz="4" w:space="0" w:color="auto"/>
            </w:tcBorders>
            <w:shd w:val="clear" w:color="000000" w:fill="92D050"/>
            <w:noWrap/>
            <w:vAlign w:val="center"/>
            <w:hideMark/>
          </w:tcPr>
          <w:p w14:paraId="45B27281"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515</w:t>
            </w:r>
          </w:p>
        </w:tc>
        <w:tc>
          <w:tcPr>
            <w:tcW w:w="851" w:type="dxa"/>
            <w:tcBorders>
              <w:top w:val="nil"/>
              <w:left w:val="nil"/>
              <w:bottom w:val="single" w:sz="8" w:space="0" w:color="auto"/>
              <w:right w:val="single" w:sz="4" w:space="0" w:color="auto"/>
            </w:tcBorders>
            <w:shd w:val="clear" w:color="000000" w:fill="92D050"/>
            <w:noWrap/>
            <w:vAlign w:val="center"/>
            <w:hideMark/>
          </w:tcPr>
          <w:p w14:paraId="69DF9D0C"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210</w:t>
            </w:r>
          </w:p>
        </w:tc>
        <w:tc>
          <w:tcPr>
            <w:tcW w:w="1134" w:type="dxa"/>
            <w:tcBorders>
              <w:top w:val="nil"/>
              <w:left w:val="nil"/>
              <w:bottom w:val="single" w:sz="8" w:space="0" w:color="auto"/>
              <w:right w:val="single" w:sz="8" w:space="0" w:color="auto"/>
            </w:tcBorders>
            <w:shd w:val="clear" w:color="000000" w:fill="92D050"/>
            <w:noWrap/>
            <w:vAlign w:val="center"/>
            <w:hideMark/>
          </w:tcPr>
          <w:p w14:paraId="4298C707"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725</w:t>
            </w:r>
          </w:p>
        </w:tc>
        <w:tc>
          <w:tcPr>
            <w:tcW w:w="850" w:type="dxa"/>
            <w:tcBorders>
              <w:top w:val="nil"/>
              <w:left w:val="nil"/>
              <w:bottom w:val="single" w:sz="8" w:space="0" w:color="auto"/>
              <w:right w:val="single" w:sz="4" w:space="0" w:color="auto"/>
            </w:tcBorders>
            <w:shd w:val="clear" w:color="000000" w:fill="92D050"/>
            <w:noWrap/>
            <w:vAlign w:val="center"/>
            <w:hideMark/>
          </w:tcPr>
          <w:p w14:paraId="7A182012"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2712</w:t>
            </w:r>
          </w:p>
        </w:tc>
        <w:tc>
          <w:tcPr>
            <w:tcW w:w="851" w:type="dxa"/>
            <w:tcBorders>
              <w:top w:val="nil"/>
              <w:left w:val="nil"/>
              <w:bottom w:val="single" w:sz="8" w:space="0" w:color="auto"/>
              <w:right w:val="single" w:sz="4" w:space="0" w:color="auto"/>
            </w:tcBorders>
            <w:shd w:val="clear" w:color="000000" w:fill="92D050"/>
            <w:noWrap/>
            <w:vAlign w:val="center"/>
            <w:hideMark/>
          </w:tcPr>
          <w:p w14:paraId="0A934C27"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1250</w:t>
            </w:r>
          </w:p>
        </w:tc>
        <w:tc>
          <w:tcPr>
            <w:tcW w:w="850" w:type="dxa"/>
            <w:tcBorders>
              <w:top w:val="nil"/>
              <w:left w:val="nil"/>
              <w:bottom w:val="single" w:sz="8" w:space="0" w:color="auto"/>
              <w:right w:val="single" w:sz="8" w:space="0" w:color="auto"/>
            </w:tcBorders>
            <w:shd w:val="clear" w:color="000000" w:fill="FFFF00"/>
            <w:noWrap/>
            <w:vAlign w:val="center"/>
            <w:hideMark/>
          </w:tcPr>
          <w:p w14:paraId="4FDD2026" w14:textId="77777777" w:rsidR="00476D60" w:rsidRPr="00BF1898" w:rsidRDefault="00476D60" w:rsidP="00F83B44">
            <w:pPr>
              <w:jc w:val="center"/>
              <w:rPr>
                <w:rFonts w:ascii="Calibri" w:hAnsi="Calibri" w:cs="Calibri"/>
                <w:b/>
                <w:bCs/>
                <w:color w:val="000000"/>
                <w:sz w:val="18"/>
                <w:szCs w:val="18"/>
                <w:lang w:val="en-GB" w:eastAsia="en-GB"/>
              </w:rPr>
            </w:pPr>
            <w:r w:rsidRPr="00BF1898">
              <w:rPr>
                <w:rFonts w:ascii="Calibri" w:hAnsi="Calibri" w:cs="Calibri"/>
                <w:b/>
                <w:bCs/>
                <w:color w:val="000000"/>
                <w:sz w:val="18"/>
                <w:szCs w:val="18"/>
                <w:lang w:val="en-GB" w:eastAsia="en-GB"/>
              </w:rPr>
              <w:t>3962</w:t>
            </w:r>
          </w:p>
        </w:tc>
      </w:tr>
    </w:tbl>
    <w:p w14:paraId="0A57215D" w14:textId="77777777" w:rsidR="00476D60" w:rsidRPr="00B63564" w:rsidRDefault="00476D60" w:rsidP="00476D60">
      <w:pPr>
        <w:spacing w:after="120"/>
        <w:jc w:val="both"/>
        <w:rPr>
          <w:rFonts w:ascii="Arial" w:hAnsi="Arial" w:cs="Arial"/>
          <w:lang w:val="fr-FR"/>
        </w:rPr>
      </w:pPr>
    </w:p>
    <w:p w14:paraId="4BA7959F" w14:textId="77777777" w:rsidR="00476D60" w:rsidRPr="005E4E2B" w:rsidRDefault="00476D60" w:rsidP="00476D60">
      <w:pPr>
        <w:spacing w:line="276" w:lineRule="auto"/>
        <w:jc w:val="both"/>
        <w:rPr>
          <w:rFonts w:ascii="Candara" w:hAnsi="Candara" w:cs="Arial"/>
          <w:lang w:val="fr-FR"/>
        </w:rPr>
      </w:pPr>
      <w:r w:rsidRPr="005E4E2B">
        <w:rPr>
          <w:rFonts w:ascii="Candara" w:hAnsi="Candara" w:cs="Arial"/>
          <w:lang w:val="fr-FR"/>
        </w:rPr>
        <w:t xml:space="preserve">6) Une fois que les centres de santé à échantillonner ont été identifiés (tirés aléatoirement), au sein de ces centres, </w:t>
      </w:r>
      <w:r>
        <w:rPr>
          <w:rFonts w:ascii="Candara" w:hAnsi="Candara" w:cs="Arial"/>
          <w:lang w:val="fr-FR"/>
        </w:rPr>
        <w:t>10</w:t>
      </w:r>
      <w:r w:rsidRPr="00DE532F">
        <w:rPr>
          <w:rFonts w:ascii="Candara" w:hAnsi="Candara" w:cs="Arial"/>
          <w:lang w:val="fr-FR"/>
        </w:rPr>
        <w:t xml:space="preserve"> villages/quartiers/carrés</w:t>
      </w:r>
      <w:r w:rsidRPr="005E4E2B">
        <w:rPr>
          <w:rFonts w:ascii="Candara" w:hAnsi="Candara" w:cs="Arial"/>
          <w:lang w:val="fr-FR"/>
        </w:rPr>
        <w:t xml:space="preserve"> seront tirés aléatoirement. Dans chaque village/quartier/carré tiré aléatoireme</w:t>
      </w:r>
      <w:r>
        <w:rPr>
          <w:rFonts w:ascii="Candara" w:hAnsi="Candara" w:cs="Arial"/>
          <w:lang w:val="fr-FR"/>
        </w:rPr>
        <w:t>nt, il est prévu de visiter de 5 à 7</w:t>
      </w:r>
      <w:r w:rsidRPr="005E4E2B">
        <w:rPr>
          <w:rFonts w:ascii="Candara" w:hAnsi="Candara" w:cs="Arial"/>
          <w:lang w:val="fr-FR"/>
        </w:rPr>
        <w:t xml:space="preserve"> concessions (respectivement </w:t>
      </w:r>
      <w:r>
        <w:rPr>
          <w:rFonts w:ascii="Candara" w:hAnsi="Candara" w:cs="Arial"/>
          <w:lang w:val="fr-FR"/>
        </w:rPr>
        <w:t>5 en province et 7</w:t>
      </w:r>
      <w:r w:rsidRPr="005E4E2B">
        <w:rPr>
          <w:rFonts w:ascii="Candara" w:hAnsi="Candara" w:cs="Arial"/>
          <w:lang w:val="fr-FR"/>
        </w:rPr>
        <w:t xml:space="preserve"> à N’Djamena). Au sein de ces concessions éligibles (acceptant l’enquête et disposant des enfants de </w:t>
      </w:r>
      <w:r>
        <w:rPr>
          <w:rFonts w:ascii="Candara" w:hAnsi="Candara" w:cs="Arial"/>
          <w:lang w:val="fr-FR"/>
        </w:rPr>
        <w:t>3 – 59 mois</w:t>
      </w:r>
      <w:r w:rsidRPr="005E4E2B">
        <w:rPr>
          <w:rFonts w:ascii="Candara" w:hAnsi="Candara" w:cs="Arial"/>
          <w:lang w:val="fr-FR"/>
        </w:rPr>
        <w:t>) les gardiens d’enfants seront interrogés. En ce qui concerne le tirage aléatoire des centres de santé et des village/quartier/carré, le cabinet tirera des numéros aléatoirement et Malaria Consortium identifiera la correspondance sur la liste des centres de santé et des villages/quartiers/carrés.</w:t>
      </w:r>
    </w:p>
    <w:p w14:paraId="7723CE5F" w14:textId="77777777" w:rsidR="00476D60" w:rsidRPr="005E4E2B" w:rsidRDefault="00476D60" w:rsidP="00476D60">
      <w:pPr>
        <w:spacing w:line="276" w:lineRule="auto"/>
        <w:jc w:val="both"/>
        <w:rPr>
          <w:rFonts w:ascii="Candara" w:hAnsi="Candara" w:cs="Arial"/>
          <w:lang w:val="fr-FR"/>
        </w:rPr>
      </w:pPr>
      <w:r w:rsidRPr="005E4E2B">
        <w:rPr>
          <w:rFonts w:ascii="Candara" w:hAnsi="Candara" w:cs="Arial"/>
          <w:lang w:val="fr-FR"/>
        </w:rPr>
        <w:t>7) Au Tchad comme dans les zones sahéliennes de l’Afrique de l’Ouest, les ménages individuels sont rarement considérés comme des structures autonomes. En raison de la complexité des structures familiales (polygamie) et des facteurs socio-économiques, les ménages vivent généralement en agglomération à l'intérieur d’une concession. Concrètement, cela signifie que lorsqu'une équipe d'intervieweurs frappe à une seule porte, elle trouvera très probablement un nombre variable de ménages, et par conséquent plusieurs gardiens d’enfants et leurs enfants.</w:t>
      </w:r>
    </w:p>
    <w:p w14:paraId="33B11C02" w14:textId="77777777" w:rsidR="00476D60" w:rsidRPr="005E4E2B" w:rsidRDefault="00476D60" w:rsidP="00476D60">
      <w:pPr>
        <w:spacing w:line="276" w:lineRule="auto"/>
        <w:jc w:val="both"/>
        <w:rPr>
          <w:rFonts w:ascii="Candara" w:hAnsi="Candara" w:cs="Arial"/>
          <w:lang w:val="fr-FR"/>
        </w:rPr>
      </w:pPr>
      <w:r w:rsidRPr="005E4E2B">
        <w:rPr>
          <w:rFonts w:ascii="Candara" w:hAnsi="Candara" w:cs="Arial"/>
          <w:lang w:val="fr-FR"/>
        </w:rPr>
        <w:lastRenderedPageBreak/>
        <w:t>Pour répondre aux besoins de cette enquête sur la couverture, l'unité d'analyse est définie comme une seule personne responsable des soins de l'enfant qui parle de tous ses enfants. Cette définition est basée sur l'hypothèse que tous les gardiens d’enfants et tous les enfants de moins de 5 ans vivant dans une concession donnée auront été traités de la même manière si la concession a été visitée par les relais communautaires.</w:t>
      </w:r>
    </w:p>
    <w:p w14:paraId="2C8C3831" w14:textId="77777777" w:rsidR="00476D60" w:rsidRPr="005E4E2B" w:rsidRDefault="00476D60" w:rsidP="00476D60">
      <w:pPr>
        <w:spacing w:line="276" w:lineRule="auto"/>
        <w:jc w:val="both"/>
        <w:rPr>
          <w:rFonts w:ascii="Candara" w:hAnsi="Candara" w:cs="Arial"/>
          <w:lang w:val="fr-FR"/>
        </w:rPr>
      </w:pPr>
      <w:r w:rsidRPr="005E4E2B">
        <w:rPr>
          <w:rFonts w:ascii="Candara" w:hAnsi="Candara" w:cs="Arial"/>
          <w:lang w:val="fr-FR"/>
        </w:rPr>
        <w:t>Par ailleurs, la taille totale de l'échantillon s'applique à une concession et que le questionnaire permet de collecter des informations spécifiques à la concession, au ménage individuel et aux enfants du ménage sélectionné. Comment un ménage est sélectionné à l'intérieur d'un composé donné doit être établi.</w:t>
      </w:r>
    </w:p>
    <w:p w14:paraId="1A5483DF" w14:textId="77777777" w:rsidR="00476D60" w:rsidRPr="005E4E2B" w:rsidRDefault="00476D60" w:rsidP="00476D60">
      <w:pPr>
        <w:spacing w:line="276" w:lineRule="auto"/>
        <w:jc w:val="both"/>
        <w:rPr>
          <w:rFonts w:ascii="Candara" w:hAnsi="Candara" w:cs="Arial"/>
          <w:lang w:val="fr-FR"/>
        </w:rPr>
      </w:pPr>
      <w:r w:rsidRPr="005E4E2B">
        <w:rPr>
          <w:rFonts w:ascii="Candara" w:hAnsi="Candara" w:cs="Arial"/>
          <w:lang w:val="fr-FR"/>
        </w:rPr>
        <w:t>8) La sélection aléatoire des concessions doit suivre les directives générales de sélection aléatoire établies pour les enquêtes. Il convient de veiller à la représentativité de la zone de responsabilité du district sanitaire.</w:t>
      </w:r>
    </w:p>
    <w:p w14:paraId="3753D435" w14:textId="77777777" w:rsidR="00476D60" w:rsidRPr="007503A5" w:rsidRDefault="00476D60" w:rsidP="00476D60">
      <w:pPr>
        <w:spacing w:line="276" w:lineRule="auto"/>
        <w:jc w:val="both"/>
        <w:rPr>
          <w:rFonts w:ascii="Garamond" w:hAnsi="Garamond" w:cs="Arial"/>
          <w:color w:val="0D0D0D"/>
          <w:lang w:val="fr-FR"/>
        </w:rPr>
      </w:pPr>
      <w:r w:rsidRPr="005E4E2B">
        <w:rPr>
          <w:rFonts w:ascii="Candara" w:hAnsi="Candara" w:cs="Arial"/>
          <w:lang w:val="fr-FR"/>
        </w:rPr>
        <w:t>Aux niveaux des délégations et des districts, la taille des échantillons agrégés permettra de calculer les taux de couvertures pondérés avec leur intervalle de confiance associé.</w:t>
      </w:r>
    </w:p>
    <w:p w14:paraId="2600D90F" w14:textId="77777777" w:rsidR="00476D60" w:rsidRPr="00B63564" w:rsidRDefault="00476D60" w:rsidP="00476D60">
      <w:pPr>
        <w:spacing w:after="120"/>
        <w:jc w:val="both"/>
        <w:rPr>
          <w:rFonts w:ascii="Arial" w:hAnsi="Arial" w:cs="Arial"/>
          <w:lang w:val="fr-FR"/>
        </w:rPr>
      </w:pPr>
    </w:p>
    <w:p w14:paraId="0993EC32" w14:textId="77777777" w:rsidR="00476D60" w:rsidRPr="00342D5A" w:rsidRDefault="00476D60" w:rsidP="00476D60">
      <w:pPr>
        <w:autoSpaceDE w:val="0"/>
        <w:autoSpaceDN w:val="0"/>
        <w:adjustRightInd w:val="0"/>
        <w:jc w:val="both"/>
        <w:rPr>
          <w:rFonts w:ascii="Garamond" w:hAnsi="Garamond" w:cs="Arial"/>
          <w:b/>
          <w:color w:val="0D0D0D"/>
          <w:sz w:val="24"/>
          <w:szCs w:val="24"/>
          <w:lang w:val="fr-FR"/>
        </w:rPr>
      </w:pPr>
      <w:r>
        <w:rPr>
          <w:rFonts w:ascii="Garamond" w:hAnsi="Garamond" w:cs="Arial"/>
          <w:b/>
          <w:color w:val="0D0D0D"/>
          <w:sz w:val="24"/>
          <w:szCs w:val="24"/>
          <w:lang w:val="fr-FR"/>
        </w:rPr>
        <w:t xml:space="preserve">4. </w:t>
      </w:r>
      <w:r w:rsidRPr="00342D5A">
        <w:rPr>
          <w:rFonts w:ascii="Garamond" w:hAnsi="Garamond" w:cs="Arial"/>
          <w:b/>
          <w:color w:val="0D0D0D"/>
          <w:sz w:val="24"/>
          <w:szCs w:val="24"/>
          <w:lang w:val="fr-FR"/>
        </w:rPr>
        <w:t>Indicateurs de l’enquête de couverture</w:t>
      </w:r>
    </w:p>
    <w:p w14:paraId="0AD8E22E" w14:textId="77777777" w:rsidR="00476D60" w:rsidRPr="00342D5A" w:rsidRDefault="00476D60" w:rsidP="00476D60">
      <w:pPr>
        <w:autoSpaceDE w:val="0"/>
        <w:autoSpaceDN w:val="0"/>
        <w:adjustRightInd w:val="0"/>
        <w:jc w:val="both"/>
        <w:rPr>
          <w:rFonts w:ascii="Garamond" w:hAnsi="Garamond" w:cs="Arial"/>
          <w:color w:val="0D0D0D"/>
          <w:sz w:val="24"/>
          <w:szCs w:val="24"/>
          <w:lang w:val="fr-FR"/>
        </w:rPr>
      </w:pPr>
      <w:r w:rsidRPr="00342D5A">
        <w:rPr>
          <w:rFonts w:ascii="Garamond" w:hAnsi="Garamond" w:cs="Arial"/>
          <w:color w:val="0D0D0D"/>
          <w:sz w:val="24"/>
          <w:szCs w:val="24"/>
          <w:lang w:val="fr-FR"/>
        </w:rPr>
        <w:t xml:space="preserve"> </w:t>
      </w:r>
    </w:p>
    <w:p w14:paraId="3D69B20A" w14:textId="77777777" w:rsidR="00476D60" w:rsidRPr="005E4E2B" w:rsidRDefault="00476D60" w:rsidP="00476D60">
      <w:pPr>
        <w:spacing w:after="200" w:line="276" w:lineRule="auto"/>
        <w:jc w:val="both"/>
        <w:rPr>
          <w:rFonts w:ascii="Candara" w:hAnsi="Candara" w:cs="Arial"/>
          <w:lang w:val="fr-FR"/>
        </w:rPr>
      </w:pPr>
      <w:r w:rsidRPr="005E4E2B">
        <w:rPr>
          <w:rFonts w:ascii="Candara" w:hAnsi="Candara" w:cs="Arial"/>
          <w:lang w:val="fr-FR"/>
        </w:rPr>
        <w:t>Conformément à la structuration du questionnaire, les indicateurs suivants seront calculés selon les sections (en gras les indicateurs du rapport préliminaire</w:t>
      </w:r>
      <w:proofErr w:type="gramStart"/>
      <w:r w:rsidRPr="005E4E2B">
        <w:rPr>
          <w:rFonts w:ascii="Candara" w:hAnsi="Candara" w:cs="Arial"/>
          <w:lang w:val="fr-FR"/>
        </w:rPr>
        <w:t>):</w:t>
      </w:r>
      <w:proofErr w:type="gramEnd"/>
    </w:p>
    <w:p w14:paraId="1ADFED5F" w14:textId="77777777" w:rsidR="00476D60" w:rsidRPr="005E4E2B" w:rsidRDefault="00476D60" w:rsidP="00476D60">
      <w:pPr>
        <w:spacing w:after="200" w:line="276" w:lineRule="auto"/>
        <w:jc w:val="both"/>
        <w:rPr>
          <w:rFonts w:ascii="Candara" w:hAnsi="Candara" w:cs="Arial"/>
          <w:lang w:val="fr-FR"/>
        </w:rPr>
      </w:pPr>
      <w:r w:rsidRPr="005E4E2B">
        <w:rPr>
          <w:rFonts w:ascii="Candara" w:hAnsi="Candara" w:cs="Arial"/>
          <w:lang w:val="fr-FR"/>
        </w:rPr>
        <w:t>Section démographie : les indicateurs seront stratifiés selon les variables disponibles (genre, milieu, âge, etc.). Les principaux indicateurs retenus sont :</w:t>
      </w:r>
    </w:p>
    <w:p w14:paraId="1BA210C8" w14:textId="77777777" w:rsidR="00476D60" w:rsidRPr="005706BB" w:rsidRDefault="00476D60" w:rsidP="00476D60">
      <w:pPr>
        <w:pStyle w:val="ListParagraph"/>
        <w:numPr>
          <w:ilvl w:val="0"/>
          <w:numId w:val="31"/>
        </w:numPr>
        <w:spacing w:line="276" w:lineRule="auto"/>
        <w:contextualSpacing w:val="0"/>
        <w:jc w:val="both"/>
        <w:rPr>
          <w:rFonts w:ascii="Candara" w:hAnsi="Candara"/>
          <w:b w:val="0"/>
          <w:bCs/>
          <w:sz w:val="22"/>
          <w:szCs w:val="22"/>
          <w:lang w:val="fr-FR"/>
        </w:rPr>
      </w:pPr>
      <w:r w:rsidRPr="005706BB">
        <w:rPr>
          <w:rFonts w:ascii="Candara" w:hAnsi="Candara"/>
          <w:b w:val="0"/>
          <w:bCs/>
          <w:sz w:val="22"/>
          <w:szCs w:val="22"/>
          <w:lang w:val="fr-FR"/>
        </w:rPr>
        <w:t>Proportion d’enfant de sexe masculin/féminin</w:t>
      </w:r>
    </w:p>
    <w:p w14:paraId="336A9622" w14:textId="77777777" w:rsidR="00476D60" w:rsidRPr="005706BB" w:rsidRDefault="00476D60" w:rsidP="00476D60">
      <w:pPr>
        <w:pStyle w:val="ListParagraph"/>
        <w:numPr>
          <w:ilvl w:val="0"/>
          <w:numId w:val="31"/>
        </w:numPr>
        <w:spacing w:line="276" w:lineRule="auto"/>
        <w:contextualSpacing w:val="0"/>
        <w:jc w:val="both"/>
        <w:rPr>
          <w:rFonts w:ascii="Candara" w:hAnsi="Candara"/>
          <w:b w:val="0"/>
          <w:bCs/>
          <w:sz w:val="22"/>
          <w:szCs w:val="22"/>
        </w:rPr>
      </w:pPr>
      <w:proofErr w:type="spellStart"/>
      <w:r w:rsidRPr="005706BB">
        <w:rPr>
          <w:rFonts w:ascii="Candara" w:hAnsi="Candara"/>
          <w:b w:val="0"/>
          <w:bCs/>
          <w:sz w:val="22"/>
          <w:szCs w:val="22"/>
        </w:rPr>
        <w:t>Nombre</w:t>
      </w:r>
      <w:proofErr w:type="spellEnd"/>
      <w:r w:rsidRPr="005706BB">
        <w:rPr>
          <w:rFonts w:ascii="Candara" w:hAnsi="Candara"/>
          <w:b w:val="0"/>
          <w:bCs/>
          <w:sz w:val="22"/>
          <w:szCs w:val="22"/>
        </w:rPr>
        <w:t xml:space="preserve"> </w:t>
      </w:r>
      <w:proofErr w:type="spellStart"/>
      <w:r w:rsidRPr="005706BB">
        <w:rPr>
          <w:rFonts w:ascii="Candara" w:hAnsi="Candara"/>
          <w:b w:val="0"/>
          <w:bCs/>
          <w:sz w:val="22"/>
          <w:szCs w:val="22"/>
        </w:rPr>
        <w:t>moyen</w:t>
      </w:r>
      <w:proofErr w:type="spellEnd"/>
      <w:r w:rsidRPr="005706BB">
        <w:rPr>
          <w:rFonts w:ascii="Candara" w:hAnsi="Candara"/>
          <w:b w:val="0"/>
          <w:bCs/>
          <w:sz w:val="22"/>
          <w:szCs w:val="22"/>
        </w:rPr>
        <w:t xml:space="preserve"> d’enfant par ménage</w:t>
      </w:r>
    </w:p>
    <w:p w14:paraId="1B0E6926" w14:textId="77777777" w:rsidR="00476D60" w:rsidRPr="005706BB" w:rsidRDefault="00476D60" w:rsidP="00476D60">
      <w:pPr>
        <w:pStyle w:val="ListParagraph"/>
        <w:numPr>
          <w:ilvl w:val="0"/>
          <w:numId w:val="31"/>
        </w:numPr>
        <w:spacing w:line="276" w:lineRule="auto"/>
        <w:contextualSpacing w:val="0"/>
        <w:jc w:val="both"/>
        <w:rPr>
          <w:rFonts w:ascii="Candara" w:hAnsi="Candara"/>
          <w:b w:val="0"/>
          <w:bCs/>
          <w:sz w:val="22"/>
          <w:szCs w:val="22"/>
          <w:lang w:val="fr-FR"/>
        </w:rPr>
      </w:pPr>
      <w:r w:rsidRPr="005706BB">
        <w:rPr>
          <w:rFonts w:ascii="Candara" w:hAnsi="Candara"/>
          <w:b w:val="0"/>
          <w:bCs/>
          <w:sz w:val="22"/>
          <w:szCs w:val="22"/>
          <w:lang w:val="fr-FR"/>
        </w:rPr>
        <w:t>Taux de couverture d’enfant = nombre d’enfants traités / nombre total d’enfants identifiés</w:t>
      </w:r>
    </w:p>
    <w:p w14:paraId="12E4A5A2" w14:textId="77777777" w:rsidR="00476D60" w:rsidRPr="005706BB" w:rsidRDefault="00476D60" w:rsidP="00476D60">
      <w:pPr>
        <w:pStyle w:val="ListParagraph"/>
        <w:numPr>
          <w:ilvl w:val="0"/>
          <w:numId w:val="31"/>
        </w:numPr>
        <w:spacing w:line="276" w:lineRule="auto"/>
        <w:contextualSpacing w:val="0"/>
        <w:jc w:val="both"/>
        <w:rPr>
          <w:rFonts w:ascii="Candara" w:hAnsi="Candara"/>
          <w:b w:val="0"/>
          <w:bCs/>
          <w:sz w:val="22"/>
          <w:szCs w:val="22"/>
          <w:lang w:val="fr-FR"/>
        </w:rPr>
      </w:pPr>
      <w:r w:rsidRPr="005706BB">
        <w:rPr>
          <w:rFonts w:ascii="Candara" w:hAnsi="Candara"/>
          <w:b w:val="0"/>
          <w:bCs/>
          <w:sz w:val="22"/>
          <w:szCs w:val="22"/>
          <w:lang w:val="fr-FR"/>
        </w:rPr>
        <w:t>Taux de couverture ménage = nombre de ménages avec au moins un enfant traité / nombre total de ménages identifiés</w:t>
      </w:r>
    </w:p>
    <w:p w14:paraId="68B2EE9F" w14:textId="77777777" w:rsidR="00476D60" w:rsidRPr="005706BB" w:rsidRDefault="00476D60" w:rsidP="00476D60">
      <w:pPr>
        <w:pStyle w:val="ListParagraph"/>
        <w:numPr>
          <w:ilvl w:val="0"/>
          <w:numId w:val="31"/>
        </w:numPr>
        <w:spacing w:line="276" w:lineRule="auto"/>
        <w:contextualSpacing w:val="0"/>
        <w:jc w:val="both"/>
        <w:rPr>
          <w:rFonts w:ascii="Candara" w:hAnsi="Candara"/>
          <w:b w:val="0"/>
          <w:bCs/>
          <w:sz w:val="22"/>
          <w:szCs w:val="22"/>
          <w:lang w:val="fr-FR"/>
        </w:rPr>
      </w:pPr>
      <w:r w:rsidRPr="005706BB">
        <w:rPr>
          <w:rFonts w:ascii="Candara" w:hAnsi="Candara"/>
          <w:b w:val="0"/>
          <w:bCs/>
          <w:sz w:val="22"/>
          <w:szCs w:val="22"/>
          <w:lang w:val="fr-FR"/>
        </w:rPr>
        <w:t>Taux de couverture réel de ménage = nombre d’enfants traités par ménage / nombre total d’enfants par ménage identifiés</w:t>
      </w:r>
    </w:p>
    <w:p w14:paraId="33794180" w14:textId="77777777" w:rsidR="00476D60" w:rsidRPr="005706BB" w:rsidRDefault="00476D60" w:rsidP="00476D60">
      <w:pPr>
        <w:pStyle w:val="ListParagraph"/>
        <w:numPr>
          <w:ilvl w:val="0"/>
          <w:numId w:val="31"/>
        </w:numPr>
        <w:spacing w:line="276" w:lineRule="auto"/>
        <w:contextualSpacing w:val="0"/>
        <w:jc w:val="both"/>
        <w:rPr>
          <w:rFonts w:ascii="Candara" w:hAnsi="Candara"/>
          <w:b w:val="0"/>
          <w:bCs/>
          <w:sz w:val="22"/>
          <w:szCs w:val="22"/>
          <w:lang w:val="fr-FR"/>
        </w:rPr>
      </w:pPr>
      <w:r w:rsidRPr="005706BB">
        <w:rPr>
          <w:rFonts w:ascii="Candara" w:hAnsi="Candara"/>
          <w:b w:val="0"/>
          <w:bCs/>
          <w:sz w:val="22"/>
          <w:szCs w:val="22"/>
          <w:lang w:val="fr-FR"/>
        </w:rPr>
        <w:t>Taux de couverture concession = nombre de concessions avec au moins un ménage traité / nombre total de concessions identifiées</w:t>
      </w:r>
    </w:p>
    <w:p w14:paraId="4DD28904" w14:textId="77777777" w:rsidR="00476D60" w:rsidRPr="005706BB" w:rsidRDefault="00476D60" w:rsidP="00476D60">
      <w:pPr>
        <w:pStyle w:val="ListParagraph"/>
        <w:numPr>
          <w:ilvl w:val="0"/>
          <w:numId w:val="31"/>
        </w:numPr>
        <w:spacing w:line="276" w:lineRule="auto"/>
        <w:contextualSpacing w:val="0"/>
        <w:jc w:val="both"/>
        <w:rPr>
          <w:rFonts w:ascii="Candara" w:hAnsi="Candara"/>
          <w:b w:val="0"/>
          <w:bCs/>
          <w:sz w:val="22"/>
          <w:szCs w:val="22"/>
          <w:lang w:val="fr-FR"/>
        </w:rPr>
      </w:pPr>
      <w:r w:rsidRPr="005706BB">
        <w:rPr>
          <w:rFonts w:ascii="Candara" w:hAnsi="Candara"/>
          <w:b w:val="0"/>
          <w:bCs/>
          <w:sz w:val="22"/>
          <w:szCs w:val="22"/>
          <w:lang w:val="fr-FR"/>
        </w:rPr>
        <w:t>Taux de couverture réelle de concession = nombre de ménage avec tous les enfants traités par concession / nombre total de ménages par concession identifiés</w:t>
      </w:r>
    </w:p>
    <w:p w14:paraId="20DF3D2A" w14:textId="77777777" w:rsidR="00476D60" w:rsidRPr="005E4E2B" w:rsidRDefault="00476D60" w:rsidP="00476D60">
      <w:pPr>
        <w:spacing w:after="200" w:line="276" w:lineRule="auto"/>
        <w:jc w:val="both"/>
        <w:rPr>
          <w:rFonts w:ascii="Candara" w:hAnsi="Candara" w:cs="Arial"/>
          <w:b/>
          <w:lang w:val="fr-FR"/>
        </w:rPr>
      </w:pPr>
      <w:r w:rsidRPr="005E4E2B">
        <w:rPr>
          <w:rFonts w:ascii="Candara" w:hAnsi="Candara" w:cs="Arial"/>
          <w:b/>
          <w:lang w:val="fr-FR"/>
        </w:rPr>
        <w:lastRenderedPageBreak/>
        <w:t>Section qualité : les principaux indicateurs retenus sont :</w:t>
      </w:r>
    </w:p>
    <w:p w14:paraId="2F3A3E83"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Pourcentage d’enfants traités par la DOT</w:t>
      </w:r>
    </w:p>
    <w:p w14:paraId="687D01A7"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Pourcentage des enfants ayant craché/vomi partiellement/ vomi totalement les médicaments</w:t>
      </w:r>
    </w:p>
    <w:p w14:paraId="1EB54A3F"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Pourcentage des enfants ayant reçu une seconde dose après avoir craché/vomi partiellement/ vomi totalement les médicaments</w:t>
      </w:r>
    </w:p>
    <w:p w14:paraId="2BEE1FEA"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rPr>
      </w:pPr>
      <w:proofErr w:type="spellStart"/>
      <w:r w:rsidRPr="000271F3">
        <w:rPr>
          <w:rFonts w:ascii="Candara" w:hAnsi="Candara"/>
          <w:b w:val="0"/>
          <w:bCs/>
          <w:sz w:val="22"/>
          <w:szCs w:val="22"/>
        </w:rPr>
        <w:t>Pourcentage</w:t>
      </w:r>
      <w:proofErr w:type="spellEnd"/>
      <w:r w:rsidRPr="000271F3">
        <w:rPr>
          <w:rFonts w:ascii="Candara" w:hAnsi="Candara"/>
          <w:b w:val="0"/>
          <w:bCs/>
          <w:sz w:val="22"/>
          <w:szCs w:val="22"/>
        </w:rPr>
        <w:t xml:space="preserve"> de </w:t>
      </w:r>
      <w:proofErr w:type="spellStart"/>
      <w:r w:rsidRPr="000271F3">
        <w:rPr>
          <w:rFonts w:ascii="Candara" w:hAnsi="Candara"/>
          <w:b w:val="0"/>
          <w:bCs/>
          <w:sz w:val="22"/>
          <w:szCs w:val="22"/>
        </w:rPr>
        <w:t>traitement</w:t>
      </w:r>
      <w:proofErr w:type="spellEnd"/>
      <w:r w:rsidRPr="000271F3">
        <w:rPr>
          <w:rFonts w:ascii="Candara" w:hAnsi="Candara"/>
          <w:b w:val="0"/>
          <w:bCs/>
          <w:sz w:val="22"/>
          <w:szCs w:val="22"/>
        </w:rPr>
        <w:t xml:space="preserve"> Jour 2</w:t>
      </w:r>
    </w:p>
    <w:p w14:paraId="694B235B"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Pourcentage de traitement au jour 3</w:t>
      </w:r>
    </w:p>
    <w:p w14:paraId="0298419D"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rPr>
      </w:pPr>
      <w:r w:rsidRPr="000271F3">
        <w:rPr>
          <w:rFonts w:ascii="Candara" w:hAnsi="Candara"/>
          <w:b w:val="0"/>
          <w:bCs/>
          <w:sz w:val="22"/>
          <w:szCs w:val="22"/>
        </w:rPr>
        <w:t xml:space="preserve">Proportion de plaquettes </w:t>
      </w:r>
      <w:proofErr w:type="spellStart"/>
      <w:r w:rsidRPr="000271F3">
        <w:rPr>
          <w:rFonts w:ascii="Candara" w:hAnsi="Candara"/>
          <w:b w:val="0"/>
          <w:bCs/>
          <w:sz w:val="22"/>
          <w:szCs w:val="22"/>
        </w:rPr>
        <w:t>disponibles</w:t>
      </w:r>
      <w:proofErr w:type="spellEnd"/>
    </w:p>
    <w:p w14:paraId="2619D890"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rPr>
      </w:pPr>
      <w:r w:rsidRPr="000271F3">
        <w:rPr>
          <w:rFonts w:ascii="Candara" w:hAnsi="Candara"/>
          <w:b w:val="0"/>
          <w:bCs/>
          <w:sz w:val="22"/>
          <w:szCs w:val="22"/>
        </w:rPr>
        <w:t xml:space="preserve">Proportion de plaquettes </w:t>
      </w:r>
      <w:proofErr w:type="spellStart"/>
      <w:r w:rsidRPr="000271F3">
        <w:rPr>
          <w:rFonts w:ascii="Candara" w:hAnsi="Candara"/>
          <w:b w:val="0"/>
          <w:bCs/>
          <w:sz w:val="22"/>
          <w:szCs w:val="22"/>
        </w:rPr>
        <w:t>contenant</w:t>
      </w:r>
      <w:proofErr w:type="spellEnd"/>
      <w:r w:rsidRPr="000271F3">
        <w:rPr>
          <w:rFonts w:ascii="Candara" w:hAnsi="Candara"/>
          <w:b w:val="0"/>
          <w:bCs/>
          <w:sz w:val="22"/>
          <w:szCs w:val="22"/>
        </w:rPr>
        <w:t xml:space="preserve"> 0 </w:t>
      </w:r>
      <w:proofErr w:type="spellStart"/>
      <w:r w:rsidRPr="000271F3">
        <w:rPr>
          <w:rFonts w:ascii="Candara" w:hAnsi="Candara"/>
          <w:b w:val="0"/>
          <w:bCs/>
          <w:sz w:val="22"/>
          <w:szCs w:val="22"/>
        </w:rPr>
        <w:t>comprimé</w:t>
      </w:r>
      <w:proofErr w:type="spellEnd"/>
      <w:r w:rsidRPr="000271F3">
        <w:rPr>
          <w:rFonts w:ascii="Candara" w:hAnsi="Candara"/>
          <w:b w:val="0"/>
          <w:bCs/>
          <w:sz w:val="22"/>
          <w:szCs w:val="22"/>
        </w:rPr>
        <w:t xml:space="preserve"> </w:t>
      </w:r>
    </w:p>
    <w:p w14:paraId="4895CC74"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Proportion de plaquettes contenant de 1 comprimé</w:t>
      </w:r>
    </w:p>
    <w:p w14:paraId="35D15B34"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Proportion de plaquettes contenant de 2 comprimés</w:t>
      </w:r>
    </w:p>
    <w:p w14:paraId="3BA4A44C"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 xml:space="preserve">Proportion de plaquettes contenant de 3 comprimés </w:t>
      </w:r>
    </w:p>
    <w:p w14:paraId="363FB93F"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 xml:space="preserve">Proportion de plaquettes contenant de 4 comprimés </w:t>
      </w:r>
    </w:p>
    <w:p w14:paraId="45B28439"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rPr>
      </w:pPr>
      <w:proofErr w:type="spellStart"/>
      <w:r w:rsidRPr="000271F3">
        <w:rPr>
          <w:rFonts w:ascii="Candara" w:hAnsi="Candara"/>
          <w:b w:val="0"/>
          <w:bCs/>
          <w:sz w:val="22"/>
          <w:szCs w:val="22"/>
        </w:rPr>
        <w:t>Pourcentage</w:t>
      </w:r>
      <w:proofErr w:type="spellEnd"/>
      <w:r w:rsidRPr="000271F3">
        <w:rPr>
          <w:rFonts w:ascii="Candara" w:hAnsi="Candara"/>
          <w:b w:val="0"/>
          <w:bCs/>
          <w:sz w:val="22"/>
          <w:szCs w:val="22"/>
        </w:rPr>
        <w:t xml:space="preserve"> de possession de carte</w:t>
      </w:r>
    </w:p>
    <w:p w14:paraId="6C874C7B"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Taux de couverture d’enfant = nombre d’enfants traités / nombre total d’enfants identifiés (sur base carte, plaquette et déclaration)</w:t>
      </w:r>
    </w:p>
    <w:p w14:paraId="1D8DF95B"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Pourcentage de carte contenant la date exacte du cycle</w:t>
      </w:r>
    </w:p>
    <w:p w14:paraId="6AA3D679"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 xml:space="preserve">Principales raisons du </w:t>
      </w:r>
      <w:proofErr w:type="gramStart"/>
      <w:r w:rsidRPr="000271F3">
        <w:rPr>
          <w:rFonts w:ascii="Candara" w:hAnsi="Candara"/>
          <w:b w:val="0"/>
          <w:bCs/>
          <w:sz w:val="22"/>
          <w:szCs w:val="22"/>
          <w:lang w:val="fr-FR"/>
        </w:rPr>
        <w:t>non traitement</w:t>
      </w:r>
      <w:proofErr w:type="gramEnd"/>
      <w:r w:rsidRPr="000271F3">
        <w:rPr>
          <w:rFonts w:ascii="Candara" w:hAnsi="Candara"/>
          <w:b w:val="0"/>
          <w:bCs/>
          <w:sz w:val="22"/>
          <w:szCs w:val="22"/>
          <w:lang w:val="fr-FR"/>
        </w:rPr>
        <w:t xml:space="preserve"> des enfants 3-59 mois</w:t>
      </w:r>
    </w:p>
    <w:p w14:paraId="2A67C590"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Principales catégories de refus de la CPS</w:t>
      </w:r>
    </w:p>
    <w:p w14:paraId="6A12E47A"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rPr>
      </w:pPr>
      <w:proofErr w:type="spellStart"/>
      <w:r w:rsidRPr="000271F3">
        <w:rPr>
          <w:rFonts w:ascii="Candara" w:hAnsi="Candara"/>
          <w:b w:val="0"/>
          <w:bCs/>
          <w:sz w:val="22"/>
          <w:szCs w:val="22"/>
        </w:rPr>
        <w:t>Principales</w:t>
      </w:r>
      <w:proofErr w:type="spellEnd"/>
      <w:r w:rsidRPr="000271F3">
        <w:rPr>
          <w:rFonts w:ascii="Candara" w:hAnsi="Candara"/>
          <w:b w:val="0"/>
          <w:bCs/>
          <w:sz w:val="22"/>
          <w:szCs w:val="22"/>
        </w:rPr>
        <w:t xml:space="preserve"> </w:t>
      </w:r>
      <w:proofErr w:type="spellStart"/>
      <w:r w:rsidRPr="000271F3">
        <w:rPr>
          <w:rFonts w:ascii="Candara" w:hAnsi="Candara"/>
          <w:b w:val="0"/>
          <w:bCs/>
          <w:sz w:val="22"/>
          <w:szCs w:val="22"/>
        </w:rPr>
        <w:t>réactions</w:t>
      </w:r>
      <w:proofErr w:type="spellEnd"/>
      <w:r w:rsidRPr="000271F3">
        <w:rPr>
          <w:rFonts w:ascii="Candara" w:hAnsi="Candara"/>
          <w:b w:val="0"/>
          <w:bCs/>
          <w:sz w:val="22"/>
          <w:szCs w:val="22"/>
        </w:rPr>
        <w:t xml:space="preserve"> </w:t>
      </w:r>
      <w:proofErr w:type="spellStart"/>
      <w:r w:rsidRPr="000271F3">
        <w:rPr>
          <w:rFonts w:ascii="Candara" w:hAnsi="Candara"/>
          <w:b w:val="0"/>
          <w:bCs/>
          <w:sz w:val="22"/>
          <w:szCs w:val="22"/>
        </w:rPr>
        <w:t>secondaires</w:t>
      </w:r>
      <w:proofErr w:type="spellEnd"/>
    </w:p>
    <w:p w14:paraId="71D3FAE1"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Proportion de responsables d’enfants ayant communiqués les réactions secondaires au relais communautaire/ agent de santé</w:t>
      </w:r>
    </w:p>
    <w:p w14:paraId="6C4C6C6B"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Pourcentage d’enfant ayant reçu 2 cycles CPS</w:t>
      </w:r>
    </w:p>
    <w:p w14:paraId="4AE82740"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Pourcentage d’enfant ayant reçu 3 cycles CPS</w:t>
      </w:r>
    </w:p>
    <w:p w14:paraId="4736AF1F"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Pourcentage d’enfant ayant reçu 4 cycles CPS</w:t>
      </w:r>
    </w:p>
    <w:p w14:paraId="17E90F2E"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 xml:space="preserve">Principales raisons de </w:t>
      </w:r>
      <w:proofErr w:type="gramStart"/>
      <w:r w:rsidRPr="000271F3">
        <w:rPr>
          <w:rFonts w:ascii="Candara" w:hAnsi="Candara"/>
          <w:b w:val="0"/>
          <w:bCs/>
          <w:sz w:val="22"/>
          <w:szCs w:val="22"/>
          <w:lang w:val="fr-FR"/>
        </w:rPr>
        <w:t>non traitement</w:t>
      </w:r>
      <w:proofErr w:type="gramEnd"/>
      <w:r w:rsidRPr="000271F3">
        <w:rPr>
          <w:rFonts w:ascii="Candara" w:hAnsi="Candara"/>
          <w:b w:val="0"/>
          <w:bCs/>
          <w:sz w:val="22"/>
          <w:szCs w:val="22"/>
          <w:lang w:val="fr-FR"/>
        </w:rPr>
        <w:t xml:space="preserve"> CPS</w:t>
      </w:r>
    </w:p>
    <w:p w14:paraId="62F82629" w14:textId="77777777" w:rsidR="00476D60" w:rsidRPr="000271F3" w:rsidRDefault="00476D60" w:rsidP="00476D60">
      <w:pPr>
        <w:pStyle w:val="ListParagraph"/>
        <w:numPr>
          <w:ilvl w:val="0"/>
          <w:numId w:val="32"/>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lastRenderedPageBreak/>
        <w:t xml:space="preserve">Pourcentage de concession bien marqué. </w:t>
      </w:r>
    </w:p>
    <w:p w14:paraId="64DCD38D" w14:textId="77777777" w:rsidR="00476D60" w:rsidRPr="00342D5A" w:rsidRDefault="00476D60" w:rsidP="00476D60">
      <w:pPr>
        <w:spacing w:after="200" w:line="276" w:lineRule="auto"/>
        <w:jc w:val="both"/>
        <w:rPr>
          <w:rFonts w:ascii="Garamond" w:hAnsi="Garamond" w:cs="Arial"/>
          <w:b/>
          <w:color w:val="0D0D0D"/>
          <w:sz w:val="24"/>
          <w:szCs w:val="24"/>
          <w:lang w:val="fr-FR"/>
        </w:rPr>
      </w:pPr>
      <w:r w:rsidRPr="00342D5A">
        <w:rPr>
          <w:rFonts w:ascii="Garamond" w:hAnsi="Garamond" w:cs="Arial"/>
          <w:b/>
          <w:color w:val="0D0D0D"/>
          <w:sz w:val="24"/>
          <w:szCs w:val="24"/>
          <w:lang w:val="fr-FR"/>
        </w:rPr>
        <w:t>Section générale : il s’agit des principaux indicateurs issus des questions d’ordre général.</w:t>
      </w:r>
    </w:p>
    <w:p w14:paraId="06ACAE34" w14:textId="77777777" w:rsidR="00476D60" w:rsidRPr="000271F3" w:rsidRDefault="00476D60" w:rsidP="00476D60">
      <w:pPr>
        <w:pStyle w:val="ListParagraph"/>
        <w:numPr>
          <w:ilvl w:val="0"/>
          <w:numId w:val="35"/>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Pour mesurer l’impact de nos campagnes de sensibilisation, nous mesurerons :</w:t>
      </w:r>
    </w:p>
    <w:p w14:paraId="29A3BC89" w14:textId="77777777" w:rsidR="00476D60" w:rsidRPr="000271F3" w:rsidRDefault="00476D60" w:rsidP="00476D60">
      <w:pPr>
        <w:pStyle w:val="ListParagraph"/>
        <w:numPr>
          <w:ilvl w:val="0"/>
          <w:numId w:val="33"/>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Proportion de responsables d’enfants connaissant la CPS</w:t>
      </w:r>
    </w:p>
    <w:p w14:paraId="09849DBA" w14:textId="77777777" w:rsidR="00476D60" w:rsidRPr="000271F3" w:rsidRDefault="00476D60" w:rsidP="00476D60">
      <w:pPr>
        <w:pStyle w:val="ListParagraph"/>
        <w:numPr>
          <w:ilvl w:val="0"/>
          <w:numId w:val="33"/>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Proportion de responsables d’enfants ayant entendu parler de la CPS</w:t>
      </w:r>
    </w:p>
    <w:p w14:paraId="3FA3A6C3" w14:textId="77777777" w:rsidR="00476D60" w:rsidRPr="000271F3" w:rsidRDefault="00476D60" w:rsidP="00476D60">
      <w:pPr>
        <w:pStyle w:val="ListParagraph"/>
        <w:numPr>
          <w:ilvl w:val="0"/>
          <w:numId w:val="33"/>
        </w:numPr>
        <w:spacing w:line="276" w:lineRule="auto"/>
        <w:contextualSpacing w:val="0"/>
        <w:jc w:val="both"/>
        <w:rPr>
          <w:rFonts w:ascii="Candara" w:hAnsi="Candara"/>
          <w:b w:val="0"/>
          <w:bCs/>
          <w:sz w:val="22"/>
          <w:szCs w:val="22"/>
        </w:rPr>
      </w:pPr>
      <w:proofErr w:type="spellStart"/>
      <w:r w:rsidRPr="000271F3">
        <w:rPr>
          <w:rFonts w:ascii="Candara" w:hAnsi="Candara"/>
          <w:b w:val="0"/>
          <w:bCs/>
          <w:sz w:val="22"/>
          <w:szCs w:val="22"/>
        </w:rPr>
        <w:t>Principaux</w:t>
      </w:r>
      <w:proofErr w:type="spellEnd"/>
      <w:r w:rsidRPr="000271F3">
        <w:rPr>
          <w:rFonts w:ascii="Candara" w:hAnsi="Candara"/>
          <w:b w:val="0"/>
          <w:bCs/>
          <w:sz w:val="22"/>
          <w:szCs w:val="22"/>
        </w:rPr>
        <w:t xml:space="preserve"> </w:t>
      </w:r>
      <w:proofErr w:type="spellStart"/>
      <w:r w:rsidRPr="000271F3">
        <w:rPr>
          <w:rFonts w:ascii="Candara" w:hAnsi="Candara"/>
          <w:b w:val="0"/>
          <w:bCs/>
          <w:sz w:val="22"/>
          <w:szCs w:val="22"/>
        </w:rPr>
        <w:t>canaux</w:t>
      </w:r>
      <w:proofErr w:type="spellEnd"/>
      <w:r w:rsidRPr="000271F3">
        <w:rPr>
          <w:rFonts w:ascii="Candara" w:hAnsi="Candara"/>
          <w:b w:val="0"/>
          <w:bCs/>
          <w:sz w:val="22"/>
          <w:szCs w:val="22"/>
        </w:rPr>
        <w:t xml:space="preserve"> </w:t>
      </w:r>
      <w:proofErr w:type="spellStart"/>
      <w:r w:rsidRPr="000271F3">
        <w:rPr>
          <w:rFonts w:ascii="Candara" w:hAnsi="Candara"/>
          <w:b w:val="0"/>
          <w:bCs/>
          <w:sz w:val="22"/>
          <w:szCs w:val="22"/>
        </w:rPr>
        <w:t>d’information</w:t>
      </w:r>
      <w:proofErr w:type="spellEnd"/>
      <w:r w:rsidRPr="000271F3">
        <w:rPr>
          <w:rFonts w:ascii="Candara" w:hAnsi="Candara"/>
          <w:b w:val="0"/>
          <w:bCs/>
          <w:sz w:val="22"/>
          <w:szCs w:val="22"/>
        </w:rPr>
        <w:t xml:space="preserve"> CPS</w:t>
      </w:r>
    </w:p>
    <w:p w14:paraId="0441578B" w14:textId="77777777" w:rsidR="00476D60" w:rsidRPr="000271F3" w:rsidRDefault="00476D60" w:rsidP="00476D60">
      <w:pPr>
        <w:pStyle w:val="ListParagraph"/>
        <w:numPr>
          <w:ilvl w:val="0"/>
          <w:numId w:val="33"/>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Pour mesurer l’effet immédiat de chaque cycle CPS, nous calculerons :</w:t>
      </w:r>
    </w:p>
    <w:p w14:paraId="59C814A9" w14:textId="77777777" w:rsidR="00476D60" w:rsidRPr="000271F3" w:rsidRDefault="00476D60" w:rsidP="00476D60">
      <w:pPr>
        <w:pStyle w:val="ListParagraph"/>
        <w:numPr>
          <w:ilvl w:val="0"/>
          <w:numId w:val="33"/>
        </w:numPr>
        <w:spacing w:line="276" w:lineRule="auto"/>
        <w:contextualSpacing w:val="0"/>
        <w:jc w:val="both"/>
        <w:rPr>
          <w:rFonts w:ascii="Candara" w:hAnsi="Candara"/>
          <w:b w:val="0"/>
          <w:bCs/>
          <w:sz w:val="22"/>
          <w:szCs w:val="22"/>
        </w:rPr>
      </w:pPr>
      <w:proofErr w:type="spellStart"/>
      <w:r w:rsidRPr="000271F3">
        <w:rPr>
          <w:rFonts w:ascii="Candara" w:hAnsi="Candara"/>
          <w:b w:val="0"/>
          <w:bCs/>
          <w:sz w:val="22"/>
          <w:szCs w:val="22"/>
        </w:rPr>
        <w:t>Prévalence</w:t>
      </w:r>
      <w:proofErr w:type="spellEnd"/>
      <w:r w:rsidRPr="000271F3">
        <w:rPr>
          <w:rFonts w:ascii="Candara" w:hAnsi="Candara"/>
          <w:b w:val="0"/>
          <w:bCs/>
          <w:sz w:val="22"/>
          <w:szCs w:val="22"/>
        </w:rPr>
        <w:t xml:space="preserve"> de </w:t>
      </w:r>
      <w:proofErr w:type="spellStart"/>
      <w:r w:rsidRPr="000271F3">
        <w:rPr>
          <w:rFonts w:ascii="Candara" w:hAnsi="Candara"/>
          <w:b w:val="0"/>
          <w:bCs/>
          <w:sz w:val="22"/>
          <w:szCs w:val="22"/>
        </w:rPr>
        <w:t>fièvre</w:t>
      </w:r>
      <w:proofErr w:type="spellEnd"/>
    </w:p>
    <w:p w14:paraId="6BCD74D4" w14:textId="77777777" w:rsidR="00476D60" w:rsidRPr="000271F3" w:rsidRDefault="00476D60" w:rsidP="00476D60">
      <w:pPr>
        <w:pStyle w:val="ListParagraph"/>
        <w:numPr>
          <w:ilvl w:val="0"/>
          <w:numId w:val="33"/>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Taux de fréquentation centre de santé</w:t>
      </w:r>
    </w:p>
    <w:p w14:paraId="4407D643" w14:textId="77777777" w:rsidR="00476D60" w:rsidRPr="000271F3" w:rsidRDefault="00476D60" w:rsidP="00476D60">
      <w:pPr>
        <w:pStyle w:val="ListParagraph"/>
        <w:numPr>
          <w:ilvl w:val="0"/>
          <w:numId w:val="33"/>
        </w:numPr>
        <w:spacing w:line="276" w:lineRule="auto"/>
        <w:contextualSpacing w:val="0"/>
        <w:jc w:val="both"/>
        <w:rPr>
          <w:rFonts w:ascii="Candara" w:hAnsi="Candara"/>
          <w:b w:val="0"/>
          <w:bCs/>
          <w:sz w:val="22"/>
          <w:szCs w:val="22"/>
        </w:rPr>
      </w:pPr>
      <w:proofErr w:type="spellStart"/>
      <w:r w:rsidRPr="000271F3">
        <w:rPr>
          <w:rFonts w:ascii="Candara" w:hAnsi="Candara"/>
          <w:b w:val="0"/>
          <w:bCs/>
          <w:sz w:val="22"/>
          <w:szCs w:val="22"/>
        </w:rPr>
        <w:t>Prévalence</w:t>
      </w:r>
      <w:proofErr w:type="spellEnd"/>
      <w:r w:rsidRPr="000271F3">
        <w:rPr>
          <w:rFonts w:ascii="Candara" w:hAnsi="Candara"/>
          <w:b w:val="0"/>
          <w:bCs/>
          <w:sz w:val="22"/>
          <w:szCs w:val="22"/>
        </w:rPr>
        <w:t xml:space="preserve"> du </w:t>
      </w:r>
      <w:proofErr w:type="spellStart"/>
      <w:r w:rsidRPr="000271F3">
        <w:rPr>
          <w:rFonts w:ascii="Candara" w:hAnsi="Candara"/>
          <w:b w:val="0"/>
          <w:bCs/>
          <w:sz w:val="22"/>
          <w:szCs w:val="22"/>
        </w:rPr>
        <w:t>paludisme</w:t>
      </w:r>
      <w:proofErr w:type="spellEnd"/>
    </w:p>
    <w:p w14:paraId="7BB39BE2" w14:textId="77777777" w:rsidR="00476D60" w:rsidRPr="000271F3" w:rsidRDefault="00476D60" w:rsidP="00476D60">
      <w:pPr>
        <w:pStyle w:val="ListParagraph"/>
        <w:numPr>
          <w:ilvl w:val="0"/>
          <w:numId w:val="33"/>
        </w:numPr>
        <w:spacing w:line="276" w:lineRule="auto"/>
        <w:contextualSpacing w:val="0"/>
        <w:jc w:val="both"/>
        <w:rPr>
          <w:rFonts w:ascii="Candara" w:hAnsi="Candara"/>
          <w:b w:val="0"/>
          <w:bCs/>
          <w:sz w:val="22"/>
          <w:szCs w:val="22"/>
        </w:rPr>
      </w:pPr>
      <w:r w:rsidRPr="000271F3">
        <w:rPr>
          <w:rFonts w:ascii="Candara" w:hAnsi="Candara"/>
          <w:b w:val="0"/>
          <w:bCs/>
          <w:sz w:val="22"/>
          <w:szCs w:val="22"/>
        </w:rPr>
        <w:t xml:space="preserve">Proportion de possession </w:t>
      </w:r>
      <w:proofErr w:type="spellStart"/>
      <w:r w:rsidRPr="000271F3">
        <w:rPr>
          <w:rFonts w:ascii="Candara" w:hAnsi="Candara"/>
          <w:b w:val="0"/>
          <w:bCs/>
          <w:sz w:val="22"/>
          <w:szCs w:val="22"/>
        </w:rPr>
        <w:t>moustiquaire</w:t>
      </w:r>
      <w:proofErr w:type="spellEnd"/>
    </w:p>
    <w:p w14:paraId="34701B3F" w14:textId="77777777" w:rsidR="00476D60" w:rsidRPr="000271F3" w:rsidRDefault="00476D60" w:rsidP="00476D60">
      <w:pPr>
        <w:pStyle w:val="ListParagraph"/>
        <w:numPr>
          <w:ilvl w:val="0"/>
          <w:numId w:val="33"/>
        </w:numPr>
        <w:spacing w:line="276" w:lineRule="auto"/>
        <w:contextualSpacing w:val="0"/>
        <w:jc w:val="both"/>
        <w:rPr>
          <w:rFonts w:ascii="Candara" w:hAnsi="Candara"/>
          <w:b w:val="0"/>
          <w:bCs/>
          <w:sz w:val="22"/>
          <w:szCs w:val="22"/>
        </w:rPr>
      </w:pPr>
      <w:proofErr w:type="spellStart"/>
      <w:r w:rsidRPr="000271F3">
        <w:rPr>
          <w:rFonts w:ascii="Candara" w:hAnsi="Candara"/>
          <w:b w:val="0"/>
          <w:bCs/>
          <w:sz w:val="22"/>
          <w:szCs w:val="22"/>
        </w:rPr>
        <w:t>Taux</w:t>
      </w:r>
      <w:proofErr w:type="spellEnd"/>
      <w:r w:rsidRPr="000271F3">
        <w:rPr>
          <w:rFonts w:ascii="Candara" w:hAnsi="Candara"/>
          <w:b w:val="0"/>
          <w:bCs/>
          <w:sz w:val="22"/>
          <w:szCs w:val="22"/>
        </w:rPr>
        <w:t xml:space="preserve"> </w:t>
      </w:r>
      <w:proofErr w:type="spellStart"/>
      <w:r w:rsidRPr="000271F3">
        <w:rPr>
          <w:rFonts w:ascii="Candara" w:hAnsi="Candara"/>
          <w:b w:val="0"/>
          <w:bCs/>
          <w:sz w:val="22"/>
          <w:szCs w:val="22"/>
        </w:rPr>
        <w:t>d’utilisation</w:t>
      </w:r>
      <w:proofErr w:type="spellEnd"/>
      <w:r w:rsidRPr="000271F3">
        <w:rPr>
          <w:rFonts w:ascii="Candara" w:hAnsi="Candara"/>
          <w:b w:val="0"/>
          <w:bCs/>
          <w:sz w:val="22"/>
          <w:szCs w:val="22"/>
        </w:rPr>
        <w:t xml:space="preserve"> de </w:t>
      </w:r>
      <w:proofErr w:type="spellStart"/>
      <w:r w:rsidRPr="000271F3">
        <w:rPr>
          <w:rFonts w:ascii="Candara" w:hAnsi="Candara"/>
          <w:b w:val="0"/>
          <w:bCs/>
          <w:sz w:val="22"/>
          <w:szCs w:val="22"/>
        </w:rPr>
        <w:t>moustiquaire</w:t>
      </w:r>
      <w:proofErr w:type="spellEnd"/>
    </w:p>
    <w:p w14:paraId="4BD21A53" w14:textId="77777777" w:rsidR="00476D60" w:rsidRPr="000271F3" w:rsidRDefault="00476D60" w:rsidP="00476D60">
      <w:pPr>
        <w:pStyle w:val="ListParagraph"/>
        <w:numPr>
          <w:ilvl w:val="0"/>
          <w:numId w:val="33"/>
        </w:numPr>
        <w:spacing w:line="276" w:lineRule="auto"/>
        <w:contextualSpacing w:val="0"/>
        <w:jc w:val="both"/>
        <w:rPr>
          <w:rFonts w:ascii="Candara" w:hAnsi="Candara"/>
          <w:b w:val="0"/>
          <w:bCs/>
          <w:sz w:val="22"/>
          <w:szCs w:val="22"/>
        </w:rPr>
      </w:pPr>
      <w:proofErr w:type="spellStart"/>
      <w:r w:rsidRPr="000271F3">
        <w:rPr>
          <w:rFonts w:ascii="Candara" w:hAnsi="Candara"/>
          <w:b w:val="0"/>
          <w:bCs/>
          <w:sz w:val="22"/>
          <w:szCs w:val="22"/>
        </w:rPr>
        <w:t>Taux</w:t>
      </w:r>
      <w:proofErr w:type="spellEnd"/>
      <w:r w:rsidRPr="000271F3">
        <w:rPr>
          <w:rFonts w:ascii="Candara" w:hAnsi="Candara"/>
          <w:b w:val="0"/>
          <w:bCs/>
          <w:sz w:val="22"/>
          <w:szCs w:val="22"/>
        </w:rPr>
        <w:t xml:space="preserve"> de </w:t>
      </w:r>
      <w:proofErr w:type="spellStart"/>
      <w:r w:rsidRPr="000271F3">
        <w:rPr>
          <w:rFonts w:ascii="Candara" w:hAnsi="Candara"/>
          <w:b w:val="0"/>
          <w:bCs/>
          <w:sz w:val="22"/>
          <w:szCs w:val="22"/>
        </w:rPr>
        <w:t>pulvérisation</w:t>
      </w:r>
      <w:proofErr w:type="spellEnd"/>
      <w:r w:rsidRPr="000271F3">
        <w:rPr>
          <w:rFonts w:ascii="Candara" w:hAnsi="Candara"/>
          <w:b w:val="0"/>
          <w:bCs/>
          <w:sz w:val="22"/>
          <w:szCs w:val="22"/>
        </w:rPr>
        <w:t xml:space="preserve"> intra-</w:t>
      </w:r>
      <w:proofErr w:type="spellStart"/>
      <w:r w:rsidRPr="000271F3">
        <w:rPr>
          <w:rFonts w:ascii="Candara" w:hAnsi="Candara"/>
          <w:b w:val="0"/>
          <w:bCs/>
          <w:sz w:val="22"/>
          <w:szCs w:val="22"/>
        </w:rPr>
        <w:t>domiciliaire</w:t>
      </w:r>
      <w:proofErr w:type="spellEnd"/>
    </w:p>
    <w:p w14:paraId="5648C535" w14:textId="77777777" w:rsidR="00476D60" w:rsidRPr="005E4E2B" w:rsidRDefault="00476D60" w:rsidP="00476D60">
      <w:pPr>
        <w:spacing w:after="200" w:line="276" w:lineRule="auto"/>
        <w:jc w:val="both"/>
        <w:rPr>
          <w:rFonts w:ascii="Candara" w:hAnsi="Candara" w:cs="Arial"/>
          <w:lang w:val="fr-FR"/>
        </w:rPr>
      </w:pPr>
    </w:p>
    <w:p w14:paraId="40C2610A" w14:textId="77777777" w:rsidR="00476D60" w:rsidRPr="005E4E2B" w:rsidRDefault="00476D60" w:rsidP="00476D60">
      <w:pPr>
        <w:spacing w:after="200" w:line="276" w:lineRule="auto"/>
        <w:jc w:val="both"/>
        <w:rPr>
          <w:rFonts w:ascii="Candara" w:hAnsi="Candara" w:cs="Arial"/>
          <w:lang w:val="fr-FR"/>
        </w:rPr>
      </w:pPr>
      <w:r w:rsidRPr="005E4E2B">
        <w:rPr>
          <w:rFonts w:ascii="Candara" w:hAnsi="Candara" w:cs="Arial"/>
          <w:lang w:val="fr-FR"/>
        </w:rPr>
        <w:t>Pour comprendre davantage la qualité de mise en œuvre de la CPS, il sera calculé les indicateurs suivants :</w:t>
      </w:r>
    </w:p>
    <w:p w14:paraId="7C118DDA" w14:textId="77777777" w:rsidR="00476D60" w:rsidRPr="000271F3" w:rsidRDefault="00476D60" w:rsidP="00476D60">
      <w:pPr>
        <w:pStyle w:val="ListParagraph"/>
        <w:numPr>
          <w:ilvl w:val="0"/>
          <w:numId w:val="34"/>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Pourcentage de relais communautaire connu de la communauté</w:t>
      </w:r>
    </w:p>
    <w:p w14:paraId="487BE080" w14:textId="77777777" w:rsidR="00476D60" w:rsidRPr="000271F3" w:rsidRDefault="00476D60" w:rsidP="00476D60">
      <w:pPr>
        <w:pStyle w:val="ListParagraph"/>
        <w:numPr>
          <w:ilvl w:val="0"/>
          <w:numId w:val="34"/>
        </w:numPr>
        <w:spacing w:line="276" w:lineRule="auto"/>
        <w:contextualSpacing w:val="0"/>
        <w:jc w:val="both"/>
        <w:rPr>
          <w:rFonts w:ascii="Candara" w:hAnsi="Candara"/>
          <w:b w:val="0"/>
          <w:bCs/>
          <w:sz w:val="22"/>
          <w:szCs w:val="22"/>
          <w:lang w:val="fr-FR"/>
        </w:rPr>
      </w:pPr>
      <w:r w:rsidRPr="000271F3">
        <w:rPr>
          <w:rFonts w:ascii="Candara" w:hAnsi="Candara"/>
          <w:b w:val="0"/>
          <w:bCs/>
          <w:sz w:val="22"/>
          <w:szCs w:val="22"/>
          <w:lang w:val="fr-FR"/>
        </w:rPr>
        <w:t>Pourcentage de relais communautaire provenant de la communauté</w:t>
      </w:r>
    </w:p>
    <w:p w14:paraId="53607587" w14:textId="77777777" w:rsidR="00476D60" w:rsidRDefault="00476D60" w:rsidP="00476D60">
      <w:pPr>
        <w:keepNext/>
        <w:keepLines/>
        <w:spacing w:before="240" w:line="276" w:lineRule="auto"/>
        <w:jc w:val="both"/>
        <w:outlineLvl w:val="0"/>
        <w:rPr>
          <w:rFonts w:asciiTheme="majorHAnsi" w:eastAsiaTheme="majorEastAsia" w:hAnsiTheme="majorHAnsi" w:cstheme="majorHAnsi"/>
          <w:color w:val="2E74B5" w:themeColor="accent1" w:themeShade="BF"/>
          <w:sz w:val="28"/>
          <w:szCs w:val="28"/>
          <w:lang w:val="fr-FR"/>
        </w:rPr>
      </w:pPr>
      <w:r w:rsidRPr="003E279C">
        <w:rPr>
          <w:rFonts w:asciiTheme="majorHAnsi" w:eastAsiaTheme="majorEastAsia" w:hAnsiTheme="majorHAnsi" w:cstheme="majorHAnsi"/>
          <w:color w:val="2E74B5" w:themeColor="accent1" w:themeShade="BF"/>
          <w:sz w:val="28"/>
          <w:szCs w:val="28"/>
          <w:lang w:val="fr-FR"/>
        </w:rPr>
        <w:t>Indicateurs du rapport intermédiaire servant à informer les CS et DS</w:t>
      </w:r>
    </w:p>
    <w:p w14:paraId="36898C84" w14:textId="77777777" w:rsidR="00476D60" w:rsidRPr="005E4E2B" w:rsidRDefault="00476D60" w:rsidP="00476D60">
      <w:pPr>
        <w:keepNext/>
        <w:keepLines/>
        <w:spacing w:before="240" w:line="276" w:lineRule="auto"/>
        <w:jc w:val="both"/>
        <w:outlineLvl w:val="0"/>
        <w:rPr>
          <w:rFonts w:ascii="Candara" w:hAnsi="Candara" w:cs="Arial"/>
          <w:lang w:val="fr-FR"/>
        </w:rPr>
      </w:pPr>
      <w:r w:rsidRPr="005E4E2B">
        <w:rPr>
          <w:rFonts w:ascii="Candara" w:hAnsi="Candara" w:cs="Arial"/>
          <w:lang w:val="fr-FR"/>
        </w:rPr>
        <w:t>Cette série d’indicateurs doit être fournie dans les 10 jours calendaires de la réalisation de l’enquête avant le rapport final. Ce délai doit être respecté afin d’informer à temps l’équipe du management de Malaria Consortium sur les zones ou performance du programme faible. Pour cela, le rapport doit comporter un tableau indiquant uniquement les zones de supervision (ainsi que les zones de responsabilité constituant la zone de supervision) défaillant pour chaque indicateur du tableau ci-dessous. On entend par zone de supervision défaillant une zone n’ayant pas atteint le seuil de décision sur les 25 concessions visitées pendant l’enquête.</w:t>
      </w:r>
    </w:p>
    <w:p w14:paraId="55E080F0" w14:textId="77777777" w:rsidR="00476D60" w:rsidRPr="005E4E2B" w:rsidRDefault="00476D60" w:rsidP="00476D60">
      <w:pPr>
        <w:spacing w:before="240" w:line="276" w:lineRule="auto"/>
        <w:jc w:val="both"/>
        <w:rPr>
          <w:rFonts w:ascii="Candara" w:hAnsi="Candara" w:cs="Arial"/>
          <w:lang w:val="fr-FR"/>
        </w:rPr>
      </w:pPr>
      <w:r w:rsidRPr="005E4E2B">
        <w:rPr>
          <w:rFonts w:ascii="Candara" w:hAnsi="Candara" w:cs="Arial"/>
          <w:lang w:val="fr-FR"/>
        </w:rPr>
        <w:t>Les indicateurs suivants doivent être produits systématiquement après les enquêtes de fin de cycle (LQAS) et partager avec les districts en vue d’améliorer les cycles suivants :</w:t>
      </w:r>
    </w:p>
    <w:tbl>
      <w:tblPr>
        <w:tblW w:w="10206" w:type="dxa"/>
        <w:tblInd w:w="-289" w:type="dxa"/>
        <w:tblLook w:val="04A0" w:firstRow="1" w:lastRow="0" w:firstColumn="1" w:lastColumn="0" w:noHBand="0" w:noVBand="1"/>
      </w:tblPr>
      <w:tblGrid>
        <w:gridCol w:w="5671"/>
        <w:gridCol w:w="1417"/>
        <w:gridCol w:w="2126"/>
        <w:gridCol w:w="992"/>
      </w:tblGrid>
      <w:tr w:rsidR="00476D60" w:rsidRPr="00DE06E5" w14:paraId="26527803" w14:textId="77777777" w:rsidTr="00F83B44">
        <w:trPr>
          <w:trHeight w:val="28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F60FD" w14:textId="77777777" w:rsidR="00476D60" w:rsidRPr="00DE06E5" w:rsidRDefault="00476D60" w:rsidP="00F83B44">
            <w:pPr>
              <w:rPr>
                <w:rFonts w:ascii="Calibri Light" w:hAnsi="Calibri Light" w:cs="Calibri Light"/>
                <w:b/>
                <w:color w:val="000000"/>
                <w:lang w:val="en-GB" w:eastAsia="en-GB"/>
              </w:rPr>
            </w:pPr>
            <w:proofErr w:type="spellStart"/>
            <w:r w:rsidRPr="00DE06E5">
              <w:rPr>
                <w:rFonts w:ascii="Calibri Light" w:hAnsi="Calibri Light" w:cs="Calibri Light"/>
                <w:b/>
                <w:color w:val="000000"/>
                <w:lang w:val="en-GB" w:eastAsia="en-GB"/>
              </w:rPr>
              <w:lastRenderedPageBreak/>
              <w:t>Indicateur</w:t>
            </w:r>
            <w:r>
              <w:rPr>
                <w:rFonts w:ascii="Calibri Light" w:hAnsi="Calibri Light" w:cs="Calibri Light"/>
                <w:b/>
                <w:color w:val="000000"/>
                <w:lang w:val="en-GB" w:eastAsia="en-GB"/>
              </w:rPr>
              <w:t>s</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8F88FAB" w14:textId="77777777" w:rsidR="00476D60" w:rsidRPr="00DE06E5" w:rsidRDefault="00476D60" w:rsidP="00F83B44">
            <w:pPr>
              <w:rPr>
                <w:rFonts w:ascii="Calibri Light" w:hAnsi="Calibri Light" w:cs="Calibri Light"/>
                <w:b/>
                <w:color w:val="000000"/>
                <w:lang w:val="en-GB" w:eastAsia="en-GB"/>
              </w:rPr>
            </w:pPr>
            <w:proofErr w:type="spellStart"/>
            <w:r w:rsidRPr="00DE06E5">
              <w:rPr>
                <w:rFonts w:ascii="Calibri Light" w:hAnsi="Calibri Light" w:cs="Calibri Light"/>
                <w:b/>
                <w:color w:val="000000"/>
                <w:lang w:val="en-GB" w:eastAsia="en-GB"/>
              </w:rPr>
              <w:t>Unité</w:t>
            </w:r>
            <w:proofErr w:type="spellEnd"/>
            <w:r w:rsidRPr="00DE06E5">
              <w:rPr>
                <w:rFonts w:ascii="Calibri Light" w:hAnsi="Calibri Light" w:cs="Calibri Light"/>
                <w:b/>
                <w:color w:val="000000"/>
                <w:lang w:val="en-GB" w:eastAsia="en-GB"/>
              </w:rPr>
              <w:t xml:space="preserve"> </w:t>
            </w:r>
            <w:proofErr w:type="spellStart"/>
            <w:r w:rsidRPr="00DE06E5">
              <w:rPr>
                <w:rFonts w:ascii="Calibri Light" w:hAnsi="Calibri Light" w:cs="Calibri Light"/>
                <w:b/>
                <w:color w:val="000000"/>
                <w:lang w:val="en-GB" w:eastAsia="en-GB"/>
              </w:rPr>
              <w:t>d'analyse</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2AC7115" w14:textId="77777777" w:rsidR="00476D60" w:rsidRPr="00DE06E5" w:rsidRDefault="00476D60" w:rsidP="00F83B44">
            <w:pPr>
              <w:rPr>
                <w:rFonts w:ascii="Calibri Light" w:hAnsi="Calibri Light" w:cs="Calibri Light"/>
                <w:b/>
                <w:color w:val="000000"/>
                <w:lang w:val="en-GB" w:eastAsia="en-GB"/>
              </w:rPr>
            </w:pPr>
            <w:proofErr w:type="spellStart"/>
            <w:r w:rsidRPr="00DE06E5">
              <w:rPr>
                <w:rFonts w:ascii="Calibri Light" w:hAnsi="Calibri Light" w:cs="Calibri Light"/>
                <w:b/>
                <w:color w:val="000000"/>
                <w:lang w:val="en-GB" w:eastAsia="en-GB"/>
              </w:rPr>
              <w:t>Dénominateur</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C7B03ED" w14:textId="77777777" w:rsidR="00476D60" w:rsidRPr="00DE06E5" w:rsidRDefault="00476D60" w:rsidP="00F83B44">
            <w:pPr>
              <w:rPr>
                <w:rFonts w:ascii="Calibri Light" w:hAnsi="Calibri Light" w:cs="Calibri Light"/>
                <w:b/>
                <w:color w:val="000000"/>
                <w:lang w:val="en-GB" w:eastAsia="en-GB"/>
              </w:rPr>
            </w:pPr>
            <w:proofErr w:type="spellStart"/>
            <w:r w:rsidRPr="00DE06E5">
              <w:rPr>
                <w:rFonts w:ascii="Calibri Light" w:hAnsi="Calibri Light" w:cs="Calibri Light"/>
                <w:b/>
                <w:color w:val="000000"/>
                <w:lang w:val="en-GB" w:eastAsia="en-GB"/>
              </w:rPr>
              <w:t>Seuil</w:t>
            </w:r>
            <w:proofErr w:type="spellEnd"/>
            <w:r w:rsidRPr="00DE06E5">
              <w:rPr>
                <w:rFonts w:ascii="Calibri Light" w:hAnsi="Calibri Light" w:cs="Calibri Light"/>
                <w:b/>
                <w:color w:val="000000"/>
                <w:lang w:val="en-GB" w:eastAsia="en-GB"/>
              </w:rPr>
              <w:t xml:space="preserve"> de </w:t>
            </w:r>
            <w:proofErr w:type="spellStart"/>
            <w:r w:rsidRPr="00DE06E5">
              <w:rPr>
                <w:rFonts w:ascii="Calibri Light" w:hAnsi="Calibri Light" w:cs="Calibri Light"/>
                <w:b/>
                <w:color w:val="000000"/>
                <w:lang w:val="en-GB" w:eastAsia="en-GB"/>
              </w:rPr>
              <w:t>décision</w:t>
            </w:r>
            <w:proofErr w:type="spellEnd"/>
          </w:p>
        </w:tc>
      </w:tr>
      <w:tr w:rsidR="00476D60" w:rsidRPr="00DE06E5" w14:paraId="69132E5B" w14:textId="77777777" w:rsidTr="00F83B44">
        <w:trPr>
          <w:trHeight w:val="57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4D2C78F"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Taux de couverture d’enfant = nombre d’enfants traités au jour 1 / nombre total d’enfants identifiés</w:t>
            </w:r>
          </w:p>
        </w:tc>
        <w:tc>
          <w:tcPr>
            <w:tcW w:w="1417" w:type="dxa"/>
            <w:tcBorders>
              <w:top w:val="nil"/>
              <w:left w:val="nil"/>
              <w:bottom w:val="single" w:sz="4" w:space="0" w:color="auto"/>
              <w:right w:val="single" w:sz="4" w:space="0" w:color="auto"/>
            </w:tcBorders>
            <w:shd w:val="clear" w:color="auto" w:fill="auto"/>
            <w:noWrap/>
            <w:vAlign w:val="center"/>
            <w:hideMark/>
          </w:tcPr>
          <w:p w14:paraId="653E82D4"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Enfant</w:t>
            </w:r>
          </w:p>
        </w:tc>
        <w:tc>
          <w:tcPr>
            <w:tcW w:w="2126" w:type="dxa"/>
            <w:tcBorders>
              <w:top w:val="nil"/>
              <w:left w:val="nil"/>
              <w:bottom w:val="single" w:sz="4" w:space="0" w:color="auto"/>
              <w:right w:val="single" w:sz="4" w:space="0" w:color="auto"/>
            </w:tcBorders>
            <w:shd w:val="clear" w:color="auto" w:fill="auto"/>
            <w:noWrap/>
            <w:vAlign w:val="center"/>
            <w:hideMark/>
          </w:tcPr>
          <w:p w14:paraId="2A2DDC9A"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Ménage ayant 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3C74D4C4"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23</w:t>
            </w:r>
          </w:p>
        </w:tc>
      </w:tr>
      <w:tr w:rsidR="00476D60" w:rsidRPr="00DE06E5" w14:paraId="1F2E5287" w14:textId="77777777" w:rsidTr="00F83B44">
        <w:trPr>
          <w:trHeight w:val="57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FE63A05"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Taux de couverture ménage = nombre de ménages avec au moins un enfant traité / nombre total de ménages identifiés</w:t>
            </w:r>
          </w:p>
        </w:tc>
        <w:tc>
          <w:tcPr>
            <w:tcW w:w="1417" w:type="dxa"/>
            <w:tcBorders>
              <w:top w:val="nil"/>
              <w:left w:val="nil"/>
              <w:bottom w:val="single" w:sz="4" w:space="0" w:color="auto"/>
              <w:right w:val="single" w:sz="4" w:space="0" w:color="auto"/>
            </w:tcBorders>
            <w:shd w:val="clear" w:color="auto" w:fill="auto"/>
            <w:noWrap/>
            <w:vAlign w:val="center"/>
            <w:hideMark/>
          </w:tcPr>
          <w:p w14:paraId="5E4C86F0"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Menage</w:t>
            </w:r>
          </w:p>
        </w:tc>
        <w:tc>
          <w:tcPr>
            <w:tcW w:w="2126" w:type="dxa"/>
            <w:tcBorders>
              <w:top w:val="nil"/>
              <w:left w:val="nil"/>
              <w:bottom w:val="single" w:sz="4" w:space="0" w:color="auto"/>
              <w:right w:val="single" w:sz="4" w:space="0" w:color="auto"/>
            </w:tcBorders>
            <w:shd w:val="clear" w:color="auto" w:fill="auto"/>
            <w:noWrap/>
            <w:vAlign w:val="center"/>
            <w:hideMark/>
          </w:tcPr>
          <w:p w14:paraId="38E19D13"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Ménage ayant 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4253AD5B"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23</w:t>
            </w:r>
          </w:p>
        </w:tc>
      </w:tr>
      <w:tr w:rsidR="00476D60" w:rsidRPr="00DE06E5" w14:paraId="50B0A025" w14:textId="77777777" w:rsidTr="00F83B44">
        <w:trPr>
          <w:trHeight w:val="864"/>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F20D00C"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 xml:space="preserve">Proportion d’enfant d’enfants éligibles ayant reçu les 3 jours de traitement = nombre d’enfants éligibles ayant reçu les traitements de jours 1, 2 et 3 / nombre total d’enfants éligibles </w:t>
            </w:r>
            <w:proofErr w:type="gramStart"/>
            <w:r w:rsidRPr="00DE06E5">
              <w:rPr>
                <w:rFonts w:ascii="Calibri Light" w:hAnsi="Calibri Light" w:cs="Calibri Light"/>
                <w:color w:val="000000"/>
                <w:lang w:val="fr-FR" w:eastAsia="en-GB"/>
              </w:rPr>
              <w:t>ayant  reçu</w:t>
            </w:r>
            <w:proofErr w:type="gramEnd"/>
            <w:r w:rsidRPr="00DE06E5">
              <w:rPr>
                <w:rFonts w:ascii="Calibri Light" w:hAnsi="Calibri Light" w:cs="Calibri Light"/>
                <w:color w:val="000000"/>
                <w:lang w:val="fr-FR" w:eastAsia="en-GB"/>
              </w:rPr>
              <w:t xml:space="preserve"> le traitement du jour 1 identifiés</w:t>
            </w:r>
          </w:p>
        </w:tc>
        <w:tc>
          <w:tcPr>
            <w:tcW w:w="1417" w:type="dxa"/>
            <w:tcBorders>
              <w:top w:val="nil"/>
              <w:left w:val="nil"/>
              <w:bottom w:val="single" w:sz="4" w:space="0" w:color="auto"/>
              <w:right w:val="single" w:sz="4" w:space="0" w:color="auto"/>
            </w:tcBorders>
            <w:shd w:val="clear" w:color="auto" w:fill="auto"/>
            <w:noWrap/>
            <w:vAlign w:val="center"/>
            <w:hideMark/>
          </w:tcPr>
          <w:p w14:paraId="38DA2F61"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Enfant</w:t>
            </w:r>
          </w:p>
        </w:tc>
        <w:tc>
          <w:tcPr>
            <w:tcW w:w="2126" w:type="dxa"/>
            <w:tcBorders>
              <w:top w:val="nil"/>
              <w:left w:val="nil"/>
              <w:bottom w:val="single" w:sz="4" w:space="0" w:color="auto"/>
              <w:right w:val="single" w:sz="4" w:space="0" w:color="auto"/>
            </w:tcBorders>
            <w:shd w:val="clear" w:color="auto" w:fill="auto"/>
            <w:noWrap/>
            <w:vAlign w:val="center"/>
            <w:hideMark/>
          </w:tcPr>
          <w:p w14:paraId="25587FF8"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Enfant éligible atteint (Traitement jour 1)</w:t>
            </w:r>
          </w:p>
        </w:tc>
        <w:tc>
          <w:tcPr>
            <w:tcW w:w="992" w:type="dxa"/>
            <w:tcBorders>
              <w:top w:val="nil"/>
              <w:left w:val="nil"/>
              <w:bottom w:val="single" w:sz="4" w:space="0" w:color="auto"/>
              <w:right w:val="single" w:sz="4" w:space="0" w:color="auto"/>
            </w:tcBorders>
            <w:shd w:val="clear" w:color="auto" w:fill="auto"/>
            <w:noWrap/>
            <w:vAlign w:val="center"/>
            <w:hideMark/>
          </w:tcPr>
          <w:p w14:paraId="4F321DDE"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22</w:t>
            </w:r>
          </w:p>
        </w:tc>
      </w:tr>
      <w:tr w:rsidR="00476D60" w:rsidRPr="00DE06E5" w14:paraId="28B732E6" w14:textId="77777777" w:rsidTr="00F83B44">
        <w:trPr>
          <w:trHeight w:val="28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2FC84C2"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Pourcentage d’enfants traités par la DOT</w:t>
            </w:r>
          </w:p>
        </w:tc>
        <w:tc>
          <w:tcPr>
            <w:tcW w:w="1417" w:type="dxa"/>
            <w:tcBorders>
              <w:top w:val="nil"/>
              <w:left w:val="nil"/>
              <w:bottom w:val="single" w:sz="4" w:space="0" w:color="auto"/>
              <w:right w:val="single" w:sz="4" w:space="0" w:color="auto"/>
            </w:tcBorders>
            <w:shd w:val="clear" w:color="auto" w:fill="auto"/>
            <w:noWrap/>
            <w:vAlign w:val="center"/>
            <w:hideMark/>
          </w:tcPr>
          <w:p w14:paraId="4C7DCDBC"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Enfant</w:t>
            </w:r>
          </w:p>
        </w:tc>
        <w:tc>
          <w:tcPr>
            <w:tcW w:w="2126" w:type="dxa"/>
            <w:tcBorders>
              <w:top w:val="nil"/>
              <w:left w:val="nil"/>
              <w:bottom w:val="single" w:sz="4" w:space="0" w:color="auto"/>
              <w:right w:val="single" w:sz="4" w:space="0" w:color="auto"/>
            </w:tcBorders>
            <w:shd w:val="clear" w:color="auto" w:fill="auto"/>
            <w:noWrap/>
            <w:vAlign w:val="center"/>
            <w:hideMark/>
          </w:tcPr>
          <w:p w14:paraId="114A752C"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Enfant éligible atteint (Traitement jour 1)</w:t>
            </w:r>
          </w:p>
        </w:tc>
        <w:tc>
          <w:tcPr>
            <w:tcW w:w="992" w:type="dxa"/>
            <w:tcBorders>
              <w:top w:val="nil"/>
              <w:left w:val="nil"/>
              <w:bottom w:val="single" w:sz="4" w:space="0" w:color="auto"/>
              <w:right w:val="single" w:sz="4" w:space="0" w:color="auto"/>
            </w:tcBorders>
            <w:shd w:val="clear" w:color="auto" w:fill="auto"/>
            <w:noWrap/>
            <w:vAlign w:val="center"/>
            <w:hideMark/>
          </w:tcPr>
          <w:p w14:paraId="707DE496"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22</w:t>
            </w:r>
          </w:p>
        </w:tc>
      </w:tr>
      <w:tr w:rsidR="00476D60" w:rsidRPr="00DE06E5" w14:paraId="6FA39180" w14:textId="77777777" w:rsidTr="00F83B44">
        <w:trPr>
          <w:trHeight w:val="28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7286452"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Pourcentage d’enfants éligibles possédant une carte CPS</w:t>
            </w:r>
          </w:p>
        </w:tc>
        <w:tc>
          <w:tcPr>
            <w:tcW w:w="1417" w:type="dxa"/>
            <w:tcBorders>
              <w:top w:val="nil"/>
              <w:left w:val="nil"/>
              <w:bottom w:val="single" w:sz="4" w:space="0" w:color="auto"/>
              <w:right w:val="single" w:sz="4" w:space="0" w:color="auto"/>
            </w:tcBorders>
            <w:shd w:val="clear" w:color="auto" w:fill="auto"/>
            <w:noWrap/>
            <w:vAlign w:val="center"/>
            <w:hideMark/>
          </w:tcPr>
          <w:p w14:paraId="039D4B33"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Enfant</w:t>
            </w:r>
          </w:p>
        </w:tc>
        <w:tc>
          <w:tcPr>
            <w:tcW w:w="2126" w:type="dxa"/>
            <w:tcBorders>
              <w:top w:val="nil"/>
              <w:left w:val="nil"/>
              <w:bottom w:val="single" w:sz="4" w:space="0" w:color="auto"/>
              <w:right w:val="single" w:sz="4" w:space="0" w:color="auto"/>
            </w:tcBorders>
            <w:shd w:val="clear" w:color="auto" w:fill="auto"/>
            <w:noWrap/>
            <w:vAlign w:val="center"/>
            <w:hideMark/>
          </w:tcPr>
          <w:p w14:paraId="445A99DA"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Enfant éligible atteint (Traitement jour 1)</w:t>
            </w:r>
          </w:p>
        </w:tc>
        <w:tc>
          <w:tcPr>
            <w:tcW w:w="992" w:type="dxa"/>
            <w:tcBorders>
              <w:top w:val="nil"/>
              <w:left w:val="nil"/>
              <w:bottom w:val="single" w:sz="4" w:space="0" w:color="auto"/>
              <w:right w:val="single" w:sz="4" w:space="0" w:color="auto"/>
            </w:tcBorders>
            <w:shd w:val="clear" w:color="auto" w:fill="auto"/>
            <w:noWrap/>
            <w:vAlign w:val="center"/>
            <w:hideMark/>
          </w:tcPr>
          <w:p w14:paraId="62CD0E1E"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23</w:t>
            </w:r>
          </w:p>
        </w:tc>
      </w:tr>
      <w:tr w:rsidR="00476D60" w:rsidRPr="00DE06E5" w14:paraId="2CAA94DD" w14:textId="77777777" w:rsidTr="00F83B44">
        <w:trPr>
          <w:trHeight w:val="57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111DE52"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 xml:space="preserve">Pourcentage d’enfants éligibles avec une carte contenant les 3 jours de traitement/ nombre total d’enfants éligibles </w:t>
            </w:r>
            <w:proofErr w:type="gramStart"/>
            <w:r w:rsidRPr="00DE06E5">
              <w:rPr>
                <w:rFonts w:ascii="Calibri Light" w:hAnsi="Calibri Light" w:cs="Calibri Light"/>
                <w:color w:val="000000"/>
                <w:lang w:val="fr-FR" w:eastAsia="en-GB"/>
              </w:rPr>
              <w:t>ayant  une</w:t>
            </w:r>
            <w:proofErr w:type="gramEnd"/>
            <w:r w:rsidRPr="00DE06E5">
              <w:rPr>
                <w:rFonts w:ascii="Calibri Light" w:hAnsi="Calibri Light" w:cs="Calibri Light"/>
                <w:color w:val="000000"/>
                <w:lang w:val="fr-FR" w:eastAsia="en-GB"/>
              </w:rPr>
              <w:t xml:space="preserve"> carte identifiés</w:t>
            </w:r>
          </w:p>
        </w:tc>
        <w:tc>
          <w:tcPr>
            <w:tcW w:w="1417" w:type="dxa"/>
            <w:tcBorders>
              <w:top w:val="nil"/>
              <w:left w:val="nil"/>
              <w:bottom w:val="single" w:sz="4" w:space="0" w:color="auto"/>
              <w:right w:val="single" w:sz="4" w:space="0" w:color="auto"/>
            </w:tcBorders>
            <w:shd w:val="clear" w:color="auto" w:fill="auto"/>
            <w:noWrap/>
            <w:vAlign w:val="center"/>
            <w:hideMark/>
          </w:tcPr>
          <w:p w14:paraId="558AF5AF"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Enfant</w:t>
            </w:r>
          </w:p>
        </w:tc>
        <w:tc>
          <w:tcPr>
            <w:tcW w:w="2126" w:type="dxa"/>
            <w:tcBorders>
              <w:top w:val="nil"/>
              <w:left w:val="nil"/>
              <w:bottom w:val="single" w:sz="4" w:space="0" w:color="auto"/>
              <w:right w:val="single" w:sz="4" w:space="0" w:color="auto"/>
            </w:tcBorders>
            <w:shd w:val="clear" w:color="auto" w:fill="auto"/>
            <w:noWrap/>
            <w:vAlign w:val="center"/>
            <w:hideMark/>
          </w:tcPr>
          <w:p w14:paraId="4F002B31"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Enfant éligible atteint (Traitement jour 1)</w:t>
            </w:r>
          </w:p>
        </w:tc>
        <w:tc>
          <w:tcPr>
            <w:tcW w:w="992" w:type="dxa"/>
            <w:tcBorders>
              <w:top w:val="nil"/>
              <w:left w:val="nil"/>
              <w:bottom w:val="single" w:sz="4" w:space="0" w:color="auto"/>
              <w:right w:val="single" w:sz="4" w:space="0" w:color="auto"/>
            </w:tcBorders>
            <w:shd w:val="clear" w:color="auto" w:fill="auto"/>
            <w:noWrap/>
            <w:vAlign w:val="center"/>
            <w:hideMark/>
          </w:tcPr>
          <w:p w14:paraId="5485D0DD"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23</w:t>
            </w:r>
          </w:p>
        </w:tc>
      </w:tr>
      <w:tr w:rsidR="00476D60" w:rsidRPr="00DE06E5" w14:paraId="2CDBE8BA" w14:textId="77777777" w:rsidTr="00F83B44">
        <w:trPr>
          <w:trHeight w:val="57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71DAF50"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Pourcentage des gardiennes acceptant la CPS = nombre d’enfants éligibles ayant reçu la CPS / nombre total d’enfants éligibles identifiés aléatoirement</w:t>
            </w:r>
          </w:p>
        </w:tc>
        <w:tc>
          <w:tcPr>
            <w:tcW w:w="1417" w:type="dxa"/>
            <w:tcBorders>
              <w:top w:val="nil"/>
              <w:left w:val="nil"/>
              <w:bottom w:val="single" w:sz="4" w:space="0" w:color="auto"/>
              <w:right w:val="single" w:sz="4" w:space="0" w:color="auto"/>
            </w:tcBorders>
            <w:shd w:val="clear" w:color="auto" w:fill="auto"/>
            <w:noWrap/>
            <w:vAlign w:val="center"/>
            <w:hideMark/>
          </w:tcPr>
          <w:p w14:paraId="38DB5F6A"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Enfant</w:t>
            </w:r>
          </w:p>
        </w:tc>
        <w:tc>
          <w:tcPr>
            <w:tcW w:w="2126" w:type="dxa"/>
            <w:tcBorders>
              <w:top w:val="nil"/>
              <w:left w:val="nil"/>
              <w:bottom w:val="single" w:sz="4" w:space="0" w:color="auto"/>
              <w:right w:val="single" w:sz="4" w:space="0" w:color="auto"/>
            </w:tcBorders>
            <w:shd w:val="clear" w:color="auto" w:fill="auto"/>
            <w:noWrap/>
            <w:vAlign w:val="center"/>
            <w:hideMark/>
          </w:tcPr>
          <w:p w14:paraId="52E826B2"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Concession atteinte (sélection aléatoire d'un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2F21558E"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25</w:t>
            </w:r>
          </w:p>
        </w:tc>
      </w:tr>
      <w:tr w:rsidR="00476D60" w:rsidRPr="00DE06E5" w14:paraId="48E49B01" w14:textId="77777777" w:rsidTr="00F83B44">
        <w:trPr>
          <w:trHeight w:val="28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B7BEDA2"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Proportion des gardiennes d’enfants ayant entendu parler de la CPS</w:t>
            </w:r>
          </w:p>
        </w:tc>
        <w:tc>
          <w:tcPr>
            <w:tcW w:w="1417" w:type="dxa"/>
            <w:tcBorders>
              <w:top w:val="nil"/>
              <w:left w:val="nil"/>
              <w:bottom w:val="single" w:sz="4" w:space="0" w:color="auto"/>
              <w:right w:val="single" w:sz="4" w:space="0" w:color="auto"/>
            </w:tcBorders>
            <w:shd w:val="clear" w:color="auto" w:fill="auto"/>
            <w:noWrap/>
            <w:vAlign w:val="center"/>
            <w:hideMark/>
          </w:tcPr>
          <w:p w14:paraId="2C580CF6" w14:textId="77777777" w:rsidR="00476D60" w:rsidRPr="00DE06E5" w:rsidRDefault="00476D60" w:rsidP="00F83B44">
            <w:pPr>
              <w:rPr>
                <w:rFonts w:ascii="Calibri Light" w:hAnsi="Calibri Light" w:cs="Calibri Light"/>
                <w:color w:val="000000"/>
                <w:lang w:val="en-GB" w:eastAsia="en-GB"/>
              </w:rPr>
            </w:pPr>
            <w:proofErr w:type="spellStart"/>
            <w:r w:rsidRPr="00DE06E5">
              <w:rPr>
                <w:rFonts w:ascii="Calibri Light" w:hAnsi="Calibri Light" w:cs="Calibri Light"/>
                <w:color w:val="000000"/>
                <w:lang w:val="en-GB" w:eastAsia="en-GB"/>
              </w:rPr>
              <w:t>Gardienne</w:t>
            </w:r>
            <w:proofErr w:type="spellEnd"/>
            <w:r w:rsidRPr="00DE06E5">
              <w:rPr>
                <w:rFonts w:ascii="Calibri Light" w:hAnsi="Calibri Light" w:cs="Calibri Light"/>
                <w:color w:val="000000"/>
                <w:lang w:val="en-GB" w:eastAsia="en-GB"/>
              </w:rPr>
              <w:t xml:space="preserve"> d'enfant</w:t>
            </w:r>
          </w:p>
        </w:tc>
        <w:tc>
          <w:tcPr>
            <w:tcW w:w="2126" w:type="dxa"/>
            <w:tcBorders>
              <w:top w:val="nil"/>
              <w:left w:val="nil"/>
              <w:bottom w:val="single" w:sz="4" w:space="0" w:color="auto"/>
              <w:right w:val="single" w:sz="4" w:space="0" w:color="auto"/>
            </w:tcBorders>
            <w:shd w:val="clear" w:color="auto" w:fill="auto"/>
            <w:noWrap/>
            <w:vAlign w:val="center"/>
            <w:hideMark/>
          </w:tcPr>
          <w:p w14:paraId="48F5FA2E"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Ménage ayant 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1F8B951F"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23</w:t>
            </w:r>
          </w:p>
        </w:tc>
      </w:tr>
      <w:tr w:rsidR="00476D60" w:rsidRPr="00DE06E5" w14:paraId="6F197F6F" w14:textId="77777777" w:rsidTr="00F83B44">
        <w:trPr>
          <w:trHeight w:val="28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51B5FEA"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Pourcentage des gardiennes ayant une bonne connaissance du but de la CPS</w:t>
            </w:r>
          </w:p>
        </w:tc>
        <w:tc>
          <w:tcPr>
            <w:tcW w:w="1417" w:type="dxa"/>
            <w:tcBorders>
              <w:top w:val="nil"/>
              <w:left w:val="nil"/>
              <w:bottom w:val="single" w:sz="4" w:space="0" w:color="auto"/>
              <w:right w:val="single" w:sz="4" w:space="0" w:color="auto"/>
            </w:tcBorders>
            <w:shd w:val="clear" w:color="auto" w:fill="auto"/>
            <w:noWrap/>
            <w:vAlign w:val="center"/>
            <w:hideMark/>
          </w:tcPr>
          <w:p w14:paraId="063B52BA" w14:textId="77777777" w:rsidR="00476D60" w:rsidRPr="00DE06E5" w:rsidRDefault="00476D60" w:rsidP="00F83B44">
            <w:pPr>
              <w:rPr>
                <w:rFonts w:ascii="Calibri Light" w:hAnsi="Calibri Light" w:cs="Calibri Light"/>
                <w:color w:val="000000"/>
                <w:lang w:val="en-GB" w:eastAsia="en-GB"/>
              </w:rPr>
            </w:pPr>
            <w:proofErr w:type="spellStart"/>
            <w:r w:rsidRPr="00DE06E5">
              <w:rPr>
                <w:rFonts w:ascii="Calibri Light" w:hAnsi="Calibri Light" w:cs="Calibri Light"/>
                <w:color w:val="000000"/>
                <w:lang w:val="en-GB" w:eastAsia="en-GB"/>
              </w:rPr>
              <w:t>Gardienne</w:t>
            </w:r>
            <w:proofErr w:type="spellEnd"/>
            <w:r w:rsidRPr="00DE06E5">
              <w:rPr>
                <w:rFonts w:ascii="Calibri Light" w:hAnsi="Calibri Light" w:cs="Calibri Light"/>
                <w:color w:val="000000"/>
                <w:lang w:val="en-GB" w:eastAsia="en-GB"/>
              </w:rPr>
              <w:t xml:space="preserve"> d'enfant</w:t>
            </w:r>
          </w:p>
        </w:tc>
        <w:tc>
          <w:tcPr>
            <w:tcW w:w="2126" w:type="dxa"/>
            <w:tcBorders>
              <w:top w:val="nil"/>
              <w:left w:val="nil"/>
              <w:bottom w:val="single" w:sz="4" w:space="0" w:color="auto"/>
              <w:right w:val="single" w:sz="4" w:space="0" w:color="auto"/>
            </w:tcBorders>
            <w:shd w:val="clear" w:color="auto" w:fill="auto"/>
            <w:noWrap/>
            <w:vAlign w:val="center"/>
            <w:hideMark/>
          </w:tcPr>
          <w:p w14:paraId="2CE15E52"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Ménage ayant 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5CEC44D5"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23</w:t>
            </w:r>
          </w:p>
        </w:tc>
      </w:tr>
      <w:tr w:rsidR="00476D60" w:rsidRPr="00DE06E5" w14:paraId="057A4F4B" w14:textId="77777777" w:rsidTr="00F83B44">
        <w:trPr>
          <w:trHeight w:val="28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03AC048"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Pourcentage des gardiennes connaissant la tranche d’âge éligible à la CPS</w:t>
            </w:r>
          </w:p>
        </w:tc>
        <w:tc>
          <w:tcPr>
            <w:tcW w:w="1417" w:type="dxa"/>
            <w:tcBorders>
              <w:top w:val="nil"/>
              <w:left w:val="nil"/>
              <w:bottom w:val="single" w:sz="4" w:space="0" w:color="auto"/>
              <w:right w:val="single" w:sz="4" w:space="0" w:color="auto"/>
            </w:tcBorders>
            <w:shd w:val="clear" w:color="auto" w:fill="auto"/>
            <w:noWrap/>
            <w:vAlign w:val="center"/>
            <w:hideMark/>
          </w:tcPr>
          <w:p w14:paraId="28EF66D8" w14:textId="77777777" w:rsidR="00476D60" w:rsidRPr="00DE06E5" w:rsidRDefault="00476D60" w:rsidP="00F83B44">
            <w:pPr>
              <w:rPr>
                <w:rFonts w:ascii="Calibri Light" w:hAnsi="Calibri Light" w:cs="Calibri Light"/>
                <w:color w:val="000000"/>
                <w:lang w:val="en-GB" w:eastAsia="en-GB"/>
              </w:rPr>
            </w:pPr>
            <w:proofErr w:type="spellStart"/>
            <w:r w:rsidRPr="00DE06E5">
              <w:rPr>
                <w:rFonts w:ascii="Calibri Light" w:hAnsi="Calibri Light" w:cs="Calibri Light"/>
                <w:color w:val="000000"/>
                <w:lang w:val="en-GB" w:eastAsia="en-GB"/>
              </w:rPr>
              <w:t>Gardienne</w:t>
            </w:r>
            <w:proofErr w:type="spellEnd"/>
            <w:r w:rsidRPr="00DE06E5">
              <w:rPr>
                <w:rFonts w:ascii="Calibri Light" w:hAnsi="Calibri Light" w:cs="Calibri Light"/>
                <w:color w:val="000000"/>
                <w:lang w:val="en-GB" w:eastAsia="en-GB"/>
              </w:rPr>
              <w:t xml:space="preserve"> d'enfant</w:t>
            </w:r>
          </w:p>
        </w:tc>
        <w:tc>
          <w:tcPr>
            <w:tcW w:w="2126" w:type="dxa"/>
            <w:tcBorders>
              <w:top w:val="nil"/>
              <w:left w:val="nil"/>
              <w:bottom w:val="single" w:sz="4" w:space="0" w:color="auto"/>
              <w:right w:val="single" w:sz="4" w:space="0" w:color="auto"/>
            </w:tcBorders>
            <w:shd w:val="clear" w:color="auto" w:fill="auto"/>
            <w:noWrap/>
            <w:vAlign w:val="center"/>
            <w:hideMark/>
          </w:tcPr>
          <w:p w14:paraId="03493A66"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Ménage ayant 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2B520AEF"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21</w:t>
            </w:r>
          </w:p>
        </w:tc>
      </w:tr>
      <w:tr w:rsidR="00476D60" w:rsidRPr="00DE06E5" w14:paraId="5E4B3265" w14:textId="77777777" w:rsidTr="00F83B44">
        <w:trPr>
          <w:trHeight w:val="57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04099E8"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Pourcentage des gardiennes connaissant l’importance de l’éligibilité d’âge d’enfant pour la CPS</w:t>
            </w:r>
          </w:p>
        </w:tc>
        <w:tc>
          <w:tcPr>
            <w:tcW w:w="1417" w:type="dxa"/>
            <w:tcBorders>
              <w:top w:val="nil"/>
              <w:left w:val="nil"/>
              <w:bottom w:val="single" w:sz="4" w:space="0" w:color="auto"/>
              <w:right w:val="single" w:sz="4" w:space="0" w:color="auto"/>
            </w:tcBorders>
            <w:shd w:val="clear" w:color="auto" w:fill="auto"/>
            <w:noWrap/>
            <w:vAlign w:val="center"/>
            <w:hideMark/>
          </w:tcPr>
          <w:p w14:paraId="095D32D3" w14:textId="77777777" w:rsidR="00476D60" w:rsidRPr="00DE06E5" w:rsidRDefault="00476D60" w:rsidP="00F83B44">
            <w:pPr>
              <w:rPr>
                <w:rFonts w:ascii="Calibri Light" w:hAnsi="Calibri Light" w:cs="Calibri Light"/>
                <w:color w:val="000000"/>
                <w:lang w:val="en-GB" w:eastAsia="en-GB"/>
              </w:rPr>
            </w:pPr>
            <w:proofErr w:type="spellStart"/>
            <w:r w:rsidRPr="00DE06E5">
              <w:rPr>
                <w:rFonts w:ascii="Calibri Light" w:hAnsi="Calibri Light" w:cs="Calibri Light"/>
                <w:color w:val="000000"/>
                <w:lang w:val="en-GB" w:eastAsia="en-GB"/>
              </w:rPr>
              <w:t>Gardienne</w:t>
            </w:r>
            <w:proofErr w:type="spellEnd"/>
            <w:r w:rsidRPr="00DE06E5">
              <w:rPr>
                <w:rFonts w:ascii="Calibri Light" w:hAnsi="Calibri Light" w:cs="Calibri Light"/>
                <w:color w:val="000000"/>
                <w:lang w:val="en-GB" w:eastAsia="en-GB"/>
              </w:rPr>
              <w:t xml:space="preserve"> d'enfant</w:t>
            </w:r>
          </w:p>
        </w:tc>
        <w:tc>
          <w:tcPr>
            <w:tcW w:w="2126" w:type="dxa"/>
            <w:tcBorders>
              <w:top w:val="nil"/>
              <w:left w:val="nil"/>
              <w:bottom w:val="single" w:sz="4" w:space="0" w:color="auto"/>
              <w:right w:val="single" w:sz="4" w:space="0" w:color="auto"/>
            </w:tcBorders>
            <w:shd w:val="clear" w:color="auto" w:fill="auto"/>
            <w:noWrap/>
            <w:vAlign w:val="center"/>
            <w:hideMark/>
          </w:tcPr>
          <w:p w14:paraId="57737E73"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Ménage ayant 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04C6EBA8"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21</w:t>
            </w:r>
          </w:p>
        </w:tc>
      </w:tr>
      <w:tr w:rsidR="00476D60" w:rsidRPr="00DE06E5" w14:paraId="1A205B9A" w14:textId="77777777" w:rsidTr="00F83B44">
        <w:trPr>
          <w:trHeight w:val="57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5D92689"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Pourcentage des gardiennes connaissant l’importance de l’administration de traitement de jours 2 et 3</w:t>
            </w:r>
          </w:p>
        </w:tc>
        <w:tc>
          <w:tcPr>
            <w:tcW w:w="1417" w:type="dxa"/>
            <w:tcBorders>
              <w:top w:val="nil"/>
              <w:left w:val="nil"/>
              <w:bottom w:val="single" w:sz="4" w:space="0" w:color="auto"/>
              <w:right w:val="single" w:sz="4" w:space="0" w:color="auto"/>
            </w:tcBorders>
            <w:shd w:val="clear" w:color="auto" w:fill="auto"/>
            <w:noWrap/>
            <w:vAlign w:val="center"/>
            <w:hideMark/>
          </w:tcPr>
          <w:p w14:paraId="76A80113" w14:textId="77777777" w:rsidR="00476D60" w:rsidRPr="00DE06E5" w:rsidRDefault="00476D60" w:rsidP="00F83B44">
            <w:pPr>
              <w:rPr>
                <w:rFonts w:ascii="Calibri Light" w:hAnsi="Calibri Light" w:cs="Calibri Light"/>
                <w:color w:val="000000"/>
                <w:lang w:val="en-GB" w:eastAsia="en-GB"/>
              </w:rPr>
            </w:pPr>
            <w:proofErr w:type="spellStart"/>
            <w:r w:rsidRPr="00DE06E5">
              <w:rPr>
                <w:rFonts w:ascii="Calibri Light" w:hAnsi="Calibri Light" w:cs="Calibri Light"/>
                <w:color w:val="000000"/>
                <w:lang w:val="en-GB" w:eastAsia="en-GB"/>
              </w:rPr>
              <w:t>Gardienne</w:t>
            </w:r>
            <w:proofErr w:type="spellEnd"/>
            <w:r w:rsidRPr="00DE06E5">
              <w:rPr>
                <w:rFonts w:ascii="Calibri Light" w:hAnsi="Calibri Light" w:cs="Calibri Light"/>
                <w:color w:val="000000"/>
                <w:lang w:val="en-GB" w:eastAsia="en-GB"/>
              </w:rPr>
              <w:t xml:space="preserve"> d'enfant</w:t>
            </w:r>
          </w:p>
        </w:tc>
        <w:tc>
          <w:tcPr>
            <w:tcW w:w="2126" w:type="dxa"/>
            <w:tcBorders>
              <w:top w:val="nil"/>
              <w:left w:val="nil"/>
              <w:bottom w:val="single" w:sz="4" w:space="0" w:color="auto"/>
              <w:right w:val="single" w:sz="4" w:space="0" w:color="auto"/>
            </w:tcBorders>
            <w:shd w:val="clear" w:color="auto" w:fill="auto"/>
            <w:noWrap/>
            <w:vAlign w:val="center"/>
            <w:hideMark/>
          </w:tcPr>
          <w:p w14:paraId="263E35A8"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Ménage ayant 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3B9D3C55"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21</w:t>
            </w:r>
          </w:p>
        </w:tc>
      </w:tr>
      <w:tr w:rsidR="00476D60" w:rsidRPr="00DE06E5" w14:paraId="48F3A53C" w14:textId="77777777" w:rsidTr="00F83B44">
        <w:trPr>
          <w:trHeight w:val="28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6666EACD"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Pourcentage de gardiennes connaissant les effets secondaires</w:t>
            </w:r>
          </w:p>
        </w:tc>
        <w:tc>
          <w:tcPr>
            <w:tcW w:w="1417" w:type="dxa"/>
            <w:tcBorders>
              <w:top w:val="nil"/>
              <w:left w:val="nil"/>
              <w:bottom w:val="single" w:sz="4" w:space="0" w:color="auto"/>
              <w:right w:val="single" w:sz="4" w:space="0" w:color="auto"/>
            </w:tcBorders>
            <w:shd w:val="clear" w:color="auto" w:fill="auto"/>
            <w:noWrap/>
            <w:vAlign w:val="center"/>
            <w:hideMark/>
          </w:tcPr>
          <w:p w14:paraId="154A9BBC" w14:textId="77777777" w:rsidR="00476D60" w:rsidRPr="00DE06E5" w:rsidRDefault="00476D60" w:rsidP="00F83B44">
            <w:pPr>
              <w:rPr>
                <w:rFonts w:ascii="Calibri Light" w:hAnsi="Calibri Light" w:cs="Calibri Light"/>
                <w:color w:val="000000"/>
                <w:lang w:val="en-GB" w:eastAsia="en-GB"/>
              </w:rPr>
            </w:pPr>
            <w:proofErr w:type="spellStart"/>
            <w:r w:rsidRPr="00DE06E5">
              <w:rPr>
                <w:rFonts w:ascii="Calibri Light" w:hAnsi="Calibri Light" w:cs="Calibri Light"/>
                <w:color w:val="000000"/>
                <w:lang w:val="en-GB" w:eastAsia="en-GB"/>
              </w:rPr>
              <w:t>Gardienne</w:t>
            </w:r>
            <w:proofErr w:type="spellEnd"/>
            <w:r w:rsidRPr="00DE06E5">
              <w:rPr>
                <w:rFonts w:ascii="Calibri Light" w:hAnsi="Calibri Light" w:cs="Calibri Light"/>
                <w:color w:val="000000"/>
                <w:lang w:val="en-GB" w:eastAsia="en-GB"/>
              </w:rPr>
              <w:t xml:space="preserve"> d'enfant</w:t>
            </w:r>
          </w:p>
        </w:tc>
        <w:tc>
          <w:tcPr>
            <w:tcW w:w="2126" w:type="dxa"/>
            <w:tcBorders>
              <w:top w:val="nil"/>
              <w:left w:val="nil"/>
              <w:bottom w:val="single" w:sz="4" w:space="0" w:color="auto"/>
              <w:right w:val="single" w:sz="4" w:space="0" w:color="auto"/>
            </w:tcBorders>
            <w:shd w:val="clear" w:color="auto" w:fill="auto"/>
            <w:noWrap/>
            <w:vAlign w:val="center"/>
            <w:hideMark/>
          </w:tcPr>
          <w:p w14:paraId="6A4525EE"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Ménage ayant 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79CD02DC"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21</w:t>
            </w:r>
          </w:p>
        </w:tc>
      </w:tr>
      <w:tr w:rsidR="00476D60" w:rsidRPr="00DE06E5" w14:paraId="71761FF5" w14:textId="77777777" w:rsidTr="00F83B44">
        <w:trPr>
          <w:trHeight w:val="28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616DD9E"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Pourcentage des gardiennes reconnaissant l’efficacité de la CPS</w:t>
            </w:r>
          </w:p>
        </w:tc>
        <w:tc>
          <w:tcPr>
            <w:tcW w:w="1417" w:type="dxa"/>
            <w:tcBorders>
              <w:top w:val="nil"/>
              <w:left w:val="nil"/>
              <w:bottom w:val="single" w:sz="4" w:space="0" w:color="auto"/>
              <w:right w:val="single" w:sz="4" w:space="0" w:color="auto"/>
            </w:tcBorders>
            <w:shd w:val="clear" w:color="auto" w:fill="auto"/>
            <w:noWrap/>
            <w:vAlign w:val="center"/>
            <w:hideMark/>
          </w:tcPr>
          <w:p w14:paraId="7640C2AC" w14:textId="77777777" w:rsidR="00476D60" w:rsidRPr="00DE06E5" w:rsidRDefault="00476D60" w:rsidP="00F83B44">
            <w:pPr>
              <w:rPr>
                <w:rFonts w:ascii="Calibri Light" w:hAnsi="Calibri Light" w:cs="Calibri Light"/>
                <w:color w:val="000000"/>
                <w:lang w:val="en-GB" w:eastAsia="en-GB"/>
              </w:rPr>
            </w:pPr>
            <w:proofErr w:type="spellStart"/>
            <w:r w:rsidRPr="00DE06E5">
              <w:rPr>
                <w:rFonts w:ascii="Calibri Light" w:hAnsi="Calibri Light" w:cs="Calibri Light"/>
                <w:color w:val="000000"/>
                <w:lang w:val="en-GB" w:eastAsia="en-GB"/>
              </w:rPr>
              <w:t>Gardienne</w:t>
            </w:r>
            <w:proofErr w:type="spellEnd"/>
            <w:r w:rsidRPr="00DE06E5">
              <w:rPr>
                <w:rFonts w:ascii="Calibri Light" w:hAnsi="Calibri Light" w:cs="Calibri Light"/>
                <w:color w:val="000000"/>
                <w:lang w:val="en-GB" w:eastAsia="en-GB"/>
              </w:rPr>
              <w:t xml:space="preserve"> d'enfant</w:t>
            </w:r>
          </w:p>
        </w:tc>
        <w:tc>
          <w:tcPr>
            <w:tcW w:w="2126" w:type="dxa"/>
            <w:tcBorders>
              <w:top w:val="nil"/>
              <w:left w:val="nil"/>
              <w:bottom w:val="single" w:sz="4" w:space="0" w:color="auto"/>
              <w:right w:val="single" w:sz="4" w:space="0" w:color="auto"/>
            </w:tcBorders>
            <w:shd w:val="clear" w:color="auto" w:fill="auto"/>
            <w:noWrap/>
            <w:vAlign w:val="center"/>
            <w:hideMark/>
          </w:tcPr>
          <w:p w14:paraId="2D793D3E"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Ménage ayant 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1F2F37A3"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22</w:t>
            </w:r>
          </w:p>
        </w:tc>
      </w:tr>
      <w:tr w:rsidR="00476D60" w:rsidRPr="00DE06E5" w14:paraId="0968C9BE" w14:textId="77777777" w:rsidTr="00F83B44">
        <w:trPr>
          <w:trHeight w:val="78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BB4FF9A"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lastRenderedPageBreak/>
              <w:t xml:space="preserve"> </w:t>
            </w:r>
            <w:r w:rsidRPr="00DE06E5">
              <w:rPr>
                <w:rFonts w:ascii="Calibri Light" w:hAnsi="Calibri Light" w:cs="Calibri Light"/>
                <w:color w:val="000000"/>
                <w:lang w:val="fr-FR" w:eastAsia="en-GB"/>
              </w:rPr>
              <w:t>Pourcentage des gardiennes ayant déclaré que les agents de santé distributeurs portaient un masque</w:t>
            </w:r>
          </w:p>
        </w:tc>
        <w:tc>
          <w:tcPr>
            <w:tcW w:w="1417" w:type="dxa"/>
            <w:tcBorders>
              <w:top w:val="nil"/>
              <w:left w:val="nil"/>
              <w:bottom w:val="single" w:sz="4" w:space="0" w:color="auto"/>
              <w:right w:val="single" w:sz="4" w:space="0" w:color="auto"/>
            </w:tcBorders>
            <w:shd w:val="clear" w:color="auto" w:fill="auto"/>
            <w:noWrap/>
            <w:vAlign w:val="center"/>
            <w:hideMark/>
          </w:tcPr>
          <w:p w14:paraId="49BE8BB0" w14:textId="77777777" w:rsidR="00476D60" w:rsidRPr="00DE06E5" w:rsidRDefault="00476D60" w:rsidP="00F83B44">
            <w:pPr>
              <w:rPr>
                <w:rFonts w:ascii="Calibri Light" w:hAnsi="Calibri Light" w:cs="Calibri Light"/>
                <w:color w:val="000000"/>
                <w:lang w:val="en-GB" w:eastAsia="en-GB"/>
              </w:rPr>
            </w:pPr>
            <w:proofErr w:type="spellStart"/>
            <w:r w:rsidRPr="00DE06E5">
              <w:rPr>
                <w:rFonts w:ascii="Calibri Light" w:hAnsi="Calibri Light" w:cs="Calibri Light"/>
                <w:color w:val="000000"/>
                <w:lang w:val="en-GB" w:eastAsia="en-GB"/>
              </w:rPr>
              <w:t>Gardienne</w:t>
            </w:r>
            <w:proofErr w:type="spellEnd"/>
            <w:r w:rsidRPr="00DE06E5">
              <w:rPr>
                <w:rFonts w:ascii="Calibri Light" w:hAnsi="Calibri Light" w:cs="Calibri Light"/>
                <w:color w:val="000000"/>
                <w:lang w:val="en-GB" w:eastAsia="en-GB"/>
              </w:rPr>
              <w:t xml:space="preserve"> d'enfant</w:t>
            </w:r>
          </w:p>
        </w:tc>
        <w:tc>
          <w:tcPr>
            <w:tcW w:w="2126" w:type="dxa"/>
            <w:tcBorders>
              <w:top w:val="nil"/>
              <w:left w:val="nil"/>
              <w:bottom w:val="single" w:sz="4" w:space="0" w:color="auto"/>
              <w:right w:val="single" w:sz="4" w:space="0" w:color="auto"/>
            </w:tcBorders>
            <w:shd w:val="clear" w:color="auto" w:fill="auto"/>
            <w:noWrap/>
            <w:vAlign w:val="center"/>
            <w:hideMark/>
          </w:tcPr>
          <w:p w14:paraId="2E01C97D"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Concession atteinte (sélection aléatoire d'un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159B7F21"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23</w:t>
            </w:r>
          </w:p>
        </w:tc>
      </w:tr>
      <w:tr w:rsidR="00476D60" w:rsidRPr="00DE06E5" w14:paraId="4D416095" w14:textId="77777777" w:rsidTr="00F83B44">
        <w:trPr>
          <w:trHeight w:val="57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4102CB5" w14:textId="77777777" w:rsidR="00476D60" w:rsidRPr="00DE06E5" w:rsidRDefault="00476D60" w:rsidP="00F83B44">
            <w:pPr>
              <w:rPr>
                <w:rFonts w:ascii="Calibri Light" w:hAnsi="Calibri Light" w:cs="Calibri Light"/>
                <w:color w:val="000000"/>
                <w:lang w:val="fr-FR" w:eastAsia="en-GB"/>
              </w:rPr>
            </w:pPr>
            <w:r>
              <w:rPr>
                <w:rFonts w:ascii="Calibri Light" w:hAnsi="Calibri Light" w:cs="Calibri Light"/>
                <w:color w:val="000000"/>
                <w:lang w:val="fr-FR" w:eastAsia="en-GB"/>
              </w:rPr>
              <w:t xml:space="preserve"> </w:t>
            </w:r>
            <w:r w:rsidRPr="00DE06E5">
              <w:rPr>
                <w:rFonts w:ascii="Calibri Light" w:hAnsi="Calibri Light" w:cs="Calibri Light"/>
                <w:color w:val="000000"/>
                <w:lang w:val="fr-FR" w:eastAsia="en-GB"/>
              </w:rPr>
              <w:t>Pourcentage des gardiennes ayant déclaré avoir reçu d’information de prévention de COVID-19 des agents de santé communautaire</w:t>
            </w:r>
          </w:p>
        </w:tc>
        <w:tc>
          <w:tcPr>
            <w:tcW w:w="1417" w:type="dxa"/>
            <w:tcBorders>
              <w:top w:val="nil"/>
              <w:left w:val="nil"/>
              <w:bottom w:val="single" w:sz="4" w:space="0" w:color="auto"/>
              <w:right w:val="single" w:sz="4" w:space="0" w:color="auto"/>
            </w:tcBorders>
            <w:shd w:val="clear" w:color="auto" w:fill="auto"/>
            <w:noWrap/>
            <w:vAlign w:val="center"/>
            <w:hideMark/>
          </w:tcPr>
          <w:p w14:paraId="4B8FD573" w14:textId="77777777" w:rsidR="00476D60" w:rsidRPr="00DE06E5" w:rsidRDefault="00476D60" w:rsidP="00F83B44">
            <w:pPr>
              <w:rPr>
                <w:rFonts w:ascii="Calibri Light" w:hAnsi="Calibri Light" w:cs="Calibri Light"/>
                <w:color w:val="000000"/>
                <w:lang w:val="en-GB" w:eastAsia="en-GB"/>
              </w:rPr>
            </w:pPr>
            <w:proofErr w:type="spellStart"/>
            <w:r w:rsidRPr="00DE06E5">
              <w:rPr>
                <w:rFonts w:ascii="Calibri Light" w:hAnsi="Calibri Light" w:cs="Calibri Light"/>
                <w:color w:val="000000"/>
                <w:lang w:val="en-GB" w:eastAsia="en-GB"/>
              </w:rPr>
              <w:t>Gardienne</w:t>
            </w:r>
            <w:proofErr w:type="spellEnd"/>
            <w:r w:rsidRPr="00DE06E5">
              <w:rPr>
                <w:rFonts w:ascii="Calibri Light" w:hAnsi="Calibri Light" w:cs="Calibri Light"/>
                <w:color w:val="000000"/>
                <w:lang w:val="en-GB" w:eastAsia="en-GB"/>
              </w:rPr>
              <w:t xml:space="preserve"> d'enfant</w:t>
            </w:r>
          </w:p>
        </w:tc>
        <w:tc>
          <w:tcPr>
            <w:tcW w:w="2126" w:type="dxa"/>
            <w:tcBorders>
              <w:top w:val="nil"/>
              <w:left w:val="nil"/>
              <w:bottom w:val="single" w:sz="4" w:space="0" w:color="auto"/>
              <w:right w:val="single" w:sz="4" w:space="0" w:color="auto"/>
            </w:tcBorders>
            <w:shd w:val="clear" w:color="auto" w:fill="auto"/>
            <w:noWrap/>
            <w:vAlign w:val="center"/>
            <w:hideMark/>
          </w:tcPr>
          <w:p w14:paraId="67FC715F" w14:textId="77777777" w:rsidR="00476D60" w:rsidRPr="00DE06E5" w:rsidRDefault="00476D60" w:rsidP="00F83B44">
            <w:pPr>
              <w:rPr>
                <w:rFonts w:ascii="Calibri Light" w:hAnsi="Calibri Light" w:cs="Calibri Light"/>
                <w:color w:val="000000"/>
                <w:lang w:val="fr-FR" w:eastAsia="en-GB"/>
              </w:rPr>
            </w:pPr>
            <w:r w:rsidRPr="00DE06E5">
              <w:rPr>
                <w:rFonts w:ascii="Calibri Light" w:hAnsi="Calibri Light" w:cs="Calibri Light"/>
                <w:color w:val="000000"/>
                <w:lang w:val="fr-FR" w:eastAsia="en-GB"/>
              </w:rPr>
              <w:t>Concession atteinte (sélection aléatoire d'un enfant éligible)</w:t>
            </w:r>
          </w:p>
        </w:tc>
        <w:tc>
          <w:tcPr>
            <w:tcW w:w="992" w:type="dxa"/>
            <w:tcBorders>
              <w:top w:val="nil"/>
              <w:left w:val="nil"/>
              <w:bottom w:val="single" w:sz="4" w:space="0" w:color="auto"/>
              <w:right w:val="single" w:sz="4" w:space="0" w:color="auto"/>
            </w:tcBorders>
            <w:shd w:val="clear" w:color="auto" w:fill="auto"/>
            <w:noWrap/>
            <w:vAlign w:val="center"/>
            <w:hideMark/>
          </w:tcPr>
          <w:p w14:paraId="5A96261F" w14:textId="77777777" w:rsidR="00476D60" w:rsidRPr="00DE06E5" w:rsidRDefault="00476D60" w:rsidP="00F83B44">
            <w:pPr>
              <w:rPr>
                <w:rFonts w:ascii="Calibri Light" w:hAnsi="Calibri Light" w:cs="Calibri Light"/>
                <w:color w:val="000000"/>
                <w:lang w:val="en-GB" w:eastAsia="en-GB"/>
              </w:rPr>
            </w:pPr>
            <w:r w:rsidRPr="00DE06E5">
              <w:rPr>
                <w:rFonts w:ascii="Calibri Light" w:hAnsi="Calibri Light" w:cs="Calibri Light"/>
                <w:color w:val="000000"/>
                <w:lang w:val="en-GB" w:eastAsia="en-GB"/>
              </w:rPr>
              <w:t>23</w:t>
            </w:r>
          </w:p>
        </w:tc>
      </w:tr>
    </w:tbl>
    <w:p w14:paraId="60230E7E" w14:textId="77777777" w:rsidR="00476D60" w:rsidRPr="007104FF" w:rsidRDefault="00476D60" w:rsidP="00476D60">
      <w:pPr>
        <w:spacing w:after="200"/>
        <w:jc w:val="both"/>
        <w:rPr>
          <w:rFonts w:ascii="Candara" w:hAnsi="Candara" w:cs="Calibri"/>
          <w:sz w:val="24"/>
          <w:szCs w:val="24"/>
          <w:lang w:val="fr-FR"/>
        </w:rPr>
      </w:pPr>
    </w:p>
    <w:p w14:paraId="3BEFD3DC" w14:textId="77777777" w:rsidR="00476D60" w:rsidRPr="007104FF" w:rsidRDefault="00476D60" w:rsidP="00476D60">
      <w:pPr>
        <w:spacing w:after="200" w:line="276" w:lineRule="auto"/>
        <w:jc w:val="both"/>
        <w:rPr>
          <w:rFonts w:ascii="Candara" w:hAnsi="Candara" w:cs="Calibri"/>
          <w:b/>
          <w:sz w:val="24"/>
          <w:szCs w:val="24"/>
          <w:lang w:val="fr-FR"/>
        </w:rPr>
      </w:pPr>
      <w:r>
        <w:rPr>
          <w:rFonts w:ascii="Candara" w:hAnsi="Candara" w:cs="Calibri"/>
          <w:b/>
          <w:sz w:val="24"/>
          <w:szCs w:val="24"/>
          <w:lang w:val="fr-FR"/>
        </w:rPr>
        <w:t>5.</w:t>
      </w:r>
      <w:r w:rsidRPr="007104FF">
        <w:rPr>
          <w:rFonts w:ascii="Candara" w:hAnsi="Candara" w:cs="Calibri"/>
          <w:b/>
          <w:sz w:val="24"/>
          <w:szCs w:val="24"/>
          <w:lang w:val="fr-FR"/>
        </w:rPr>
        <w:t xml:space="preserve"> Rôles et responsabilités pour la mise en œuvre technique</w:t>
      </w:r>
    </w:p>
    <w:p w14:paraId="7A9F81D3" w14:textId="77777777" w:rsidR="00476D60" w:rsidRPr="007104FF" w:rsidRDefault="00476D60" w:rsidP="00476D60">
      <w:pPr>
        <w:numPr>
          <w:ilvl w:val="0"/>
          <w:numId w:val="26"/>
        </w:numPr>
        <w:spacing w:after="200" w:line="276" w:lineRule="auto"/>
        <w:jc w:val="both"/>
        <w:rPr>
          <w:rFonts w:ascii="Candara" w:hAnsi="Candara" w:cs="Calibri"/>
          <w:b/>
          <w:sz w:val="24"/>
          <w:szCs w:val="24"/>
          <w:lang w:val="fr-FR"/>
        </w:rPr>
      </w:pPr>
      <w:r w:rsidRPr="007104FF">
        <w:rPr>
          <w:rFonts w:ascii="Candara" w:hAnsi="Candara" w:cs="Calibri"/>
          <w:b/>
          <w:sz w:val="24"/>
          <w:szCs w:val="24"/>
          <w:lang w:val="fr-FR"/>
        </w:rPr>
        <w:t>Responsabilité de Malaria Consortium</w:t>
      </w:r>
    </w:p>
    <w:p w14:paraId="544472DD" w14:textId="77777777" w:rsidR="00476D60" w:rsidRPr="007104FF" w:rsidRDefault="00476D60" w:rsidP="00476D60">
      <w:pPr>
        <w:spacing w:line="276" w:lineRule="auto"/>
        <w:jc w:val="both"/>
        <w:rPr>
          <w:rFonts w:ascii="Candara" w:hAnsi="Candara" w:cs="Calibri"/>
          <w:color w:val="0D0D0D"/>
          <w:sz w:val="24"/>
          <w:szCs w:val="24"/>
          <w:lang w:val="fr-FR"/>
        </w:rPr>
      </w:pPr>
      <w:r w:rsidRPr="007104FF">
        <w:rPr>
          <w:rFonts w:ascii="Candara" w:hAnsi="Candara" w:cs="Calibri"/>
          <w:color w:val="0D0D0D"/>
          <w:sz w:val="24"/>
          <w:szCs w:val="24"/>
          <w:lang w:val="fr-FR"/>
        </w:rPr>
        <w:t xml:space="preserve">Malaria Consortium sera responsable </w:t>
      </w:r>
      <w:r>
        <w:rPr>
          <w:rFonts w:ascii="Candara" w:hAnsi="Candara" w:cs="Calibri"/>
          <w:color w:val="0D0D0D"/>
          <w:sz w:val="24"/>
          <w:szCs w:val="24"/>
          <w:lang w:val="fr-FR"/>
        </w:rPr>
        <w:t>de la conceptualisation de l’enquête,</w:t>
      </w:r>
      <w:r w:rsidRPr="007104FF">
        <w:rPr>
          <w:rFonts w:ascii="Candara" w:hAnsi="Candara" w:cs="Calibri"/>
          <w:color w:val="0D0D0D"/>
          <w:sz w:val="24"/>
          <w:szCs w:val="24"/>
          <w:lang w:val="fr-FR"/>
        </w:rPr>
        <w:t xml:space="preserve"> de la conception du questionnaire numérique et de </w:t>
      </w:r>
      <w:r>
        <w:rPr>
          <w:rFonts w:ascii="Candara" w:hAnsi="Candara" w:cs="Calibri"/>
          <w:color w:val="0D0D0D"/>
          <w:sz w:val="24"/>
          <w:szCs w:val="24"/>
          <w:lang w:val="fr-FR"/>
        </w:rPr>
        <w:t>l</w:t>
      </w:r>
      <w:r w:rsidRPr="00606A30">
        <w:rPr>
          <w:rFonts w:ascii="Candara" w:hAnsi="Candara" w:cs="Calibri"/>
          <w:color w:val="0D0D0D"/>
          <w:sz w:val="24"/>
          <w:szCs w:val="24"/>
          <w:lang w:val="fr-FR"/>
        </w:rPr>
        <w:t>’</w:t>
      </w:r>
      <w:r>
        <w:rPr>
          <w:rFonts w:ascii="Candara" w:hAnsi="Candara" w:cs="Calibri"/>
          <w:color w:val="0D0D0D"/>
          <w:sz w:val="24"/>
          <w:szCs w:val="24"/>
          <w:lang w:val="fr-FR"/>
        </w:rPr>
        <w:t>accès à</w:t>
      </w:r>
      <w:r w:rsidRPr="00606A30">
        <w:rPr>
          <w:rFonts w:ascii="Candara" w:hAnsi="Candara" w:cs="Calibri"/>
          <w:color w:val="0D0D0D"/>
          <w:sz w:val="24"/>
          <w:szCs w:val="24"/>
          <w:lang w:val="fr-FR"/>
        </w:rPr>
        <w:t xml:space="preserve"> </w:t>
      </w:r>
      <w:r w:rsidRPr="007104FF">
        <w:rPr>
          <w:rFonts w:ascii="Candara" w:hAnsi="Candara" w:cs="Calibri"/>
          <w:color w:val="0D0D0D"/>
          <w:sz w:val="24"/>
          <w:szCs w:val="24"/>
          <w:lang w:val="fr-FR"/>
        </w:rPr>
        <w:t>la plate-for</w:t>
      </w:r>
      <w:r>
        <w:rPr>
          <w:rFonts w:ascii="Candara" w:hAnsi="Candara" w:cs="Calibri"/>
          <w:color w:val="0D0D0D"/>
          <w:sz w:val="24"/>
          <w:szCs w:val="24"/>
          <w:lang w:val="fr-FR"/>
        </w:rPr>
        <w:t>me numérique (</w:t>
      </w:r>
      <w:proofErr w:type="spellStart"/>
      <w:r>
        <w:rPr>
          <w:rFonts w:ascii="Candara" w:hAnsi="Candara" w:cs="Calibri"/>
          <w:color w:val="0D0D0D"/>
          <w:sz w:val="24"/>
          <w:szCs w:val="24"/>
          <w:lang w:val="fr-FR"/>
        </w:rPr>
        <w:t>SurveyCTO</w:t>
      </w:r>
      <w:proofErr w:type="spellEnd"/>
      <w:r>
        <w:rPr>
          <w:rFonts w:ascii="Candara" w:hAnsi="Candara" w:cs="Calibri"/>
          <w:color w:val="0D0D0D"/>
          <w:sz w:val="24"/>
          <w:szCs w:val="24"/>
          <w:lang w:val="fr-FR"/>
        </w:rPr>
        <w:t xml:space="preserve">), qui </w:t>
      </w:r>
      <w:r w:rsidRPr="004508D7">
        <w:rPr>
          <w:rFonts w:ascii="Candara" w:hAnsi="Candara" w:cs="Calibri"/>
          <w:color w:val="0D0D0D"/>
          <w:sz w:val="24"/>
          <w:szCs w:val="24"/>
          <w:lang w:val="fr-FR"/>
        </w:rPr>
        <w:t>sera tous disponible</w:t>
      </w:r>
      <w:r w:rsidRPr="007104FF">
        <w:rPr>
          <w:rFonts w:ascii="Candara" w:hAnsi="Candara" w:cs="Calibri"/>
          <w:color w:val="0D0D0D"/>
          <w:sz w:val="24"/>
          <w:szCs w:val="24"/>
          <w:lang w:val="fr-FR"/>
        </w:rPr>
        <w:t xml:space="preserve"> pour l'enquête. Malaria Consortium </w:t>
      </w:r>
      <w:proofErr w:type="spellStart"/>
      <w:r w:rsidRPr="007104FF">
        <w:rPr>
          <w:rFonts w:ascii="Candara" w:hAnsi="Candara" w:cs="Calibri"/>
          <w:color w:val="0D0D0D"/>
          <w:sz w:val="24"/>
          <w:szCs w:val="24"/>
          <w:lang w:val="fr-FR"/>
        </w:rPr>
        <w:t>co</w:t>
      </w:r>
      <w:proofErr w:type="spellEnd"/>
      <w:r w:rsidRPr="007104FF">
        <w:rPr>
          <w:rFonts w:ascii="Candara" w:hAnsi="Candara" w:cs="Calibri"/>
          <w:color w:val="0D0D0D"/>
          <w:sz w:val="24"/>
          <w:szCs w:val="24"/>
          <w:lang w:val="fr-FR"/>
        </w:rPr>
        <w:t xml:space="preserve">-facilitera la formation des enquêteurs à l'utilisation de </w:t>
      </w:r>
      <w:proofErr w:type="spellStart"/>
      <w:r>
        <w:rPr>
          <w:rFonts w:ascii="Candara" w:hAnsi="Candara" w:cs="Calibri"/>
          <w:color w:val="0D0D0D"/>
          <w:sz w:val="24"/>
          <w:szCs w:val="24"/>
          <w:lang w:val="fr-FR"/>
        </w:rPr>
        <w:t>SurveyCTO</w:t>
      </w:r>
      <w:proofErr w:type="spellEnd"/>
      <w:r w:rsidRPr="007104FF">
        <w:rPr>
          <w:rFonts w:ascii="Candara" w:hAnsi="Candara" w:cs="Calibri"/>
          <w:color w:val="0D0D0D"/>
          <w:sz w:val="24"/>
          <w:szCs w:val="24"/>
          <w:lang w:val="fr-FR"/>
        </w:rPr>
        <w:t xml:space="preserve"> et à l'utilisation des questionnaires.</w:t>
      </w:r>
    </w:p>
    <w:p w14:paraId="60F761D3" w14:textId="77777777" w:rsidR="00476D60" w:rsidRDefault="00476D60" w:rsidP="00476D60">
      <w:pPr>
        <w:spacing w:line="276" w:lineRule="auto"/>
        <w:jc w:val="both"/>
        <w:rPr>
          <w:rFonts w:ascii="Candara" w:hAnsi="Candara" w:cs="Calibri"/>
          <w:color w:val="0D0D0D"/>
          <w:sz w:val="24"/>
          <w:szCs w:val="24"/>
          <w:lang w:val="fr-FR"/>
        </w:rPr>
      </w:pPr>
      <w:r w:rsidRPr="007104FF">
        <w:rPr>
          <w:rFonts w:ascii="Candara" w:hAnsi="Candara" w:cs="Calibri"/>
          <w:color w:val="0D0D0D"/>
          <w:sz w:val="24"/>
          <w:szCs w:val="24"/>
          <w:lang w:val="fr-FR"/>
        </w:rPr>
        <w:t>Pour faciliter la réalisation de cette étude, Malaria Consortium demandera l’autorisation auprès du Programme National de Lutte contre le Paludisme et informera ses partenaires (Délégations Provinciales de la Santé et Districts de Santé).</w:t>
      </w:r>
    </w:p>
    <w:p w14:paraId="0D70B7D1" w14:textId="77777777" w:rsidR="00476D60" w:rsidRPr="00902A9B" w:rsidRDefault="00476D60" w:rsidP="00476D60">
      <w:pPr>
        <w:spacing w:line="276" w:lineRule="auto"/>
        <w:jc w:val="both"/>
        <w:rPr>
          <w:rFonts w:ascii="Candara" w:hAnsi="Candara" w:cs="Calibri"/>
          <w:color w:val="0D0D0D"/>
          <w:sz w:val="24"/>
          <w:szCs w:val="24"/>
          <w:lang w:val="fr-FR"/>
        </w:rPr>
      </w:pPr>
    </w:p>
    <w:p w14:paraId="38489070" w14:textId="77777777" w:rsidR="00476D60" w:rsidRPr="007104FF" w:rsidRDefault="00476D60" w:rsidP="00476D60">
      <w:pPr>
        <w:numPr>
          <w:ilvl w:val="0"/>
          <w:numId w:val="26"/>
        </w:numPr>
        <w:spacing w:after="200" w:line="276" w:lineRule="auto"/>
        <w:jc w:val="both"/>
        <w:rPr>
          <w:rFonts w:ascii="Candara" w:hAnsi="Candara" w:cs="Calibri"/>
          <w:b/>
          <w:sz w:val="24"/>
          <w:szCs w:val="24"/>
          <w:lang w:val="fr-FR"/>
        </w:rPr>
      </w:pPr>
      <w:r w:rsidRPr="007104FF">
        <w:rPr>
          <w:rFonts w:ascii="Candara" w:hAnsi="Candara" w:cs="Calibri"/>
          <w:b/>
          <w:sz w:val="24"/>
          <w:szCs w:val="24"/>
          <w:lang w:val="fr-FR"/>
        </w:rPr>
        <w:t xml:space="preserve">Responsabilités du </w:t>
      </w:r>
      <w:r>
        <w:rPr>
          <w:rFonts w:ascii="Candara" w:hAnsi="Candara" w:cs="Calibri"/>
          <w:b/>
          <w:sz w:val="24"/>
          <w:szCs w:val="24"/>
          <w:lang w:val="fr-FR"/>
        </w:rPr>
        <w:t>Cabinet</w:t>
      </w:r>
    </w:p>
    <w:p w14:paraId="52D9E56A" w14:textId="77777777" w:rsidR="00476D60" w:rsidRPr="007104FF" w:rsidRDefault="00476D60" w:rsidP="00476D60">
      <w:pPr>
        <w:spacing w:after="200" w:line="276" w:lineRule="auto"/>
        <w:jc w:val="both"/>
        <w:rPr>
          <w:rFonts w:ascii="Candara" w:hAnsi="Candara" w:cs="Calibri"/>
          <w:sz w:val="24"/>
          <w:szCs w:val="24"/>
          <w:lang w:val="fr-FR"/>
        </w:rPr>
      </w:pPr>
      <w:r w:rsidRPr="007104FF">
        <w:rPr>
          <w:rFonts w:ascii="Candara" w:hAnsi="Candara" w:cs="Calibri"/>
          <w:sz w:val="24"/>
          <w:szCs w:val="24"/>
          <w:lang w:val="fr-FR"/>
        </w:rPr>
        <w:t xml:space="preserve">Le </w:t>
      </w:r>
      <w:r>
        <w:rPr>
          <w:rFonts w:ascii="Candara" w:hAnsi="Candara" w:cs="Calibri"/>
          <w:sz w:val="24"/>
          <w:szCs w:val="24"/>
          <w:lang w:val="fr-FR"/>
        </w:rPr>
        <w:t>Cabinet</w:t>
      </w:r>
      <w:r w:rsidRPr="007104FF">
        <w:rPr>
          <w:rFonts w:ascii="Candara" w:hAnsi="Candara" w:cs="Calibri"/>
          <w:sz w:val="24"/>
          <w:szCs w:val="24"/>
          <w:lang w:val="fr-FR"/>
        </w:rPr>
        <w:t xml:space="preserve"> accepte de mener de façon rigoureuse l’enquê</w:t>
      </w:r>
      <w:r>
        <w:rPr>
          <w:rFonts w:ascii="Candara" w:hAnsi="Candara" w:cs="Calibri"/>
          <w:sz w:val="24"/>
          <w:szCs w:val="24"/>
          <w:lang w:val="fr-FR"/>
        </w:rPr>
        <w:t>te de couverture CPS dans les 20</w:t>
      </w:r>
      <w:r w:rsidRPr="007104FF">
        <w:rPr>
          <w:rFonts w:ascii="Candara" w:hAnsi="Candara" w:cs="Calibri"/>
          <w:sz w:val="24"/>
          <w:szCs w:val="24"/>
          <w:lang w:val="fr-FR"/>
        </w:rPr>
        <w:t xml:space="preserve"> Di</w:t>
      </w:r>
      <w:r>
        <w:rPr>
          <w:rFonts w:ascii="Candara" w:hAnsi="Candara" w:cs="Calibri"/>
          <w:sz w:val="24"/>
          <w:szCs w:val="24"/>
          <w:lang w:val="fr-FR"/>
        </w:rPr>
        <w:t>stricts de santé répartis dans 6</w:t>
      </w:r>
      <w:r w:rsidRPr="007104FF">
        <w:rPr>
          <w:rFonts w:ascii="Candara" w:hAnsi="Candara" w:cs="Calibri"/>
          <w:sz w:val="24"/>
          <w:szCs w:val="24"/>
          <w:lang w:val="fr-FR"/>
        </w:rPr>
        <w:t xml:space="preserve"> Délégations provinciales de santé et d’exécuter les tâches décrites dans le présent contrat.</w:t>
      </w:r>
    </w:p>
    <w:p w14:paraId="0C42ED5A" w14:textId="77777777" w:rsidR="00476D60" w:rsidRPr="007104FF" w:rsidRDefault="00476D60" w:rsidP="00476D60">
      <w:pPr>
        <w:spacing w:line="276" w:lineRule="auto"/>
        <w:jc w:val="both"/>
        <w:rPr>
          <w:rFonts w:ascii="Candara" w:hAnsi="Candara" w:cs="Calibri"/>
          <w:b/>
          <w:i/>
          <w:sz w:val="24"/>
          <w:szCs w:val="24"/>
          <w:u w:val="single"/>
          <w:lang w:val="fr-FR"/>
        </w:rPr>
      </w:pPr>
      <w:r w:rsidRPr="007104FF">
        <w:rPr>
          <w:rFonts w:ascii="Candara" w:hAnsi="Candara" w:cs="Calibri"/>
          <w:b/>
          <w:i/>
          <w:sz w:val="24"/>
          <w:szCs w:val="24"/>
          <w:u w:val="single"/>
          <w:lang w:val="fr-FR"/>
        </w:rPr>
        <w:t xml:space="preserve">Collecte et stockage de données </w:t>
      </w:r>
    </w:p>
    <w:p w14:paraId="7E984100" w14:textId="77777777" w:rsidR="00476D60" w:rsidRPr="007104FF" w:rsidRDefault="00476D60" w:rsidP="00476D60">
      <w:pPr>
        <w:spacing w:line="276" w:lineRule="auto"/>
        <w:jc w:val="both"/>
        <w:rPr>
          <w:rFonts w:ascii="Candara" w:hAnsi="Candara" w:cs="Calibri"/>
          <w:sz w:val="24"/>
          <w:szCs w:val="24"/>
          <w:lang w:val="fr-FR"/>
        </w:rPr>
      </w:pPr>
    </w:p>
    <w:p w14:paraId="32029CC1" w14:textId="77777777" w:rsidR="00476D60" w:rsidRPr="007104FF" w:rsidRDefault="00476D60" w:rsidP="00476D60">
      <w:pPr>
        <w:spacing w:line="276" w:lineRule="auto"/>
        <w:jc w:val="both"/>
        <w:rPr>
          <w:rFonts w:ascii="Candara" w:hAnsi="Candara" w:cs="Calibri"/>
          <w:sz w:val="24"/>
          <w:szCs w:val="24"/>
          <w:lang w:val="fr-FR"/>
        </w:rPr>
      </w:pPr>
      <w:r w:rsidRPr="007104FF">
        <w:rPr>
          <w:rFonts w:ascii="Candara" w:hAnsi="Candara" w:cs="Calibri"/>
          <w:sz w:val="24"/>
          <w:szCs w:val="24"/>
          <w:lang w:val="fr-FR"/>
        </w:rPr>
        <w:t>Les données seront recueillies numériquement, très probablement en mode hors connexion et puis transférées à un serveur via un réseau mobile ou Wi-Fi à l’aide d’appareils mobiles, selon la disponibilité. Des appareils de poche numériques (smartphones) seront mis à disp</w:t>
      </w:r>
      <w:r>
        <w:rPr>
          <w:rFonts w:ascii="Candara" w:hAnsi="Candara" w:cs="Calibri"/>
          <w:sz w:val="24"/>
          <w:szCs w:val="24"/>
          <w:lang w:val="fr-FR"/>
        </w:rPr>
        <w:t>osition par Malaria Consortium.</w:t>
      </w:r>
    </w:p>
    <w:p w14:paraId="2944666A" w14:textId="77777777" w:rsidR="00476D60" w:rsidRPr="007104FF" w:rsidRDefault="00476D60" w:rsidP="00476D60">
      <w:pPr>
        <w:spacing w:line="276" w:lineRule="auto"/>
        <w:jc w:val="both"/>
        <w:rPr>
          <w:rFonts w:ascii="Candara" w:hAnsi="Candara" w:cs="Calibri"/>
          <w:sz w:val="24"/>
          <w:szCs w:val="24"/>
          <w:lang w:val="fr-FR"/>
        </w:rPr>
      </w:pPr>
      <w:r w:rsidRPr="007104FF">
        <w:rPr>
          <w:rFonts w:ascii="Candara" w:hAnsi="Candara" w:cs="Calibri"/>
          <w:sz w:val="24"/>
          <w:szCs w:val="24"/>
          <w:lang w:val="fr-FR"/>
        </w:rPr>
        <w:t>Malaria Consortium utilise une plateforme numérique spécifique (</w:t>
      </w:r>
      <w:proofErr w:type="spellStart"/>
      <w:r>
        <w:rPr>
          <w:rFonts w:ascii="Candara" w:hAnsi="Candara" w:cs="Calibri"/>
          <w:b/>
          <w:sz w:val="24"/>
          <w:szCs w:val="24"/>
          <w:lang w:val="fr-FR"/>
        </w:rPr>
        <w:t>SurveyCTO</w:t>
      </w:r>
      <w:proofErr w:type="spellEnd"/>
      <w:r w:rsidRPr="007104FF">
        <w:rPr>
          <w:rFonts w:ascii="Candara" w:hAnsi="Candara" w:cs="Calibri"/>
          <w:sz w:val="24"/>
          <w:szCs w:val="24"/>
          <w:lang w:val="fr-FR"/>
        </w:rPr>
        <w:t xml:space="preserve">) et les agents enquêteurs seront dotés de niveaux d’accès appropriés pour la collecte de données par le biais de cette plate-forme.  </w:t>
      </w:r>
    </w:p>
    <w:p w14:paraId="4019C33B" w14:textId="77777777" w:rsidR="00476D60" w:rsidRPr="007104FF" w:rsidRDefault="00476D60" w:rsidP="00476D60">
      <w:pPr>
        <w:spacing w:line="276" w:lineRule="auto"/>
        <w:jc w:val="both"/>
        <w:rPr>
          <w:rFonts w:ascii="Candara" w:hAnsi="Candara" w:cs="Calibri"/>
          <w:b/>
          <w:sz w:val="24"/>
          <w:szCs w:val="24"/>
          <w:u w:val="single"/>
          <w:lang w:val="fr-FR"/>
        </w:rPr>
      </w:pPr>
    </w:p>
    <w:p w14:paraId="3763764A" w14:textId="77777777" w:rsidR="00476D60" w:rsidRPr="007104FF" w:rsidRDefault="00476D60" w:rsidP="00476D60">
      <w:pPr>
        <w:spacing w:line="276" w:lineRule="auto"/>
        <w:jc w:val="both"/>
        <w:rPr>
          <w:rFonts w:ascii="Candara" w:hAnsi="Candara" w:cs="Calibri"/>
          <w:b/>
          <w:i/>
          <w:sz w:val="24"/>
          <w:szCs w:val="24"/>
          <w:u w:val="single"/>
          <w:lang w:val="fr-FR"/>
        </w:rPr>
      </w:pPr>
      <w:r w:rsidRPr="007104FF">
        <w:rPr>
          <w:rFonts w:ascii="Candara" w:hAnsi="Candara" w:cs="Calibri"/>
          <w:b/>
          <w:i/>
          <w:sz w:val="24"/>
          <w:szCs w:val="24"/>
          <w:u w:val="single"/>
          <w:lang w:val="fr-FR"/>
        </w:rPr>
        <w:lastRenderedPageBreak/>
        <w:t>Analyse et gestion des données</w:t>
      </w:r>
    </w:p>
    <w:p w14:paraId="7DBDD623" w14:textId="77777777" w:rsidR="00476D60" w:rsidRPr="007104FF" w:rsidRDefault="00476D60" w:rsidP="00476D60">
      <w:pPr>
        <w:spacing w:line="276" w:lineRule="auto"/>
        <w:jc w:val="both"/>
        <w:rPr>
          <w:rFonts w:ascii="Candara" w:hAnsi="Candara" w:cs="Calibri"/>
          <w:sz w:val="24"/>
          <w:szCs w:val="24"/>
          <w:lang w:val="fr-FR"/>
        </w:rPr>
      </w:pPr>
    </w:p>
    <w:p w14:paraId="76CCF413" w14:textId="78709C07" w:rsidR="00476D60" w:rsidRPr="007104FF" w:rsidRDefault="00476D60" w:rsidP="00476D60">
      <w:pPr>
        <w:spacing w:line="276" w:lineRule="auto"/>
        <w:jc w:val="both"/>
        <w:rPr>
          <w:rFonts w:ascii="Candara" w:hAnsi="Candara" w:cs="Calibri"/>
          <w:sz w:val="24"/>
          <w:szCs w:val="24"/>
          <w:lang w:val="fr-FR"/>
        </w:rPr>
      </w:pPr>
      <w:r w:rsidRPr="007104FF">
        <w:rPr>
          <w:rFonts w:ascii="Candara" w:hAnsi="Candara" w:cs="Calibri"/>
          <w:sz w:val="24"/>
          <w:szCs w:val="24"/>
          <w:lang w:val="fr-FR"/>
        </w:rPr>
        <w:t>L’attributaire désignera, dès le</w:t>
      </w:r>
      <w:r>
        <w:rPr>
          <w:rFonts w:ascii="Candara" w:hAnsi="Candara" w:cs="Calibri"/>
          <w:sz w:val="24"/>
          <w:szCs w:val="24"/>
          <w:lang w:val="fr-FR"/>
        </w:rPr>
        <w:t xml:space="preserve"> début, la ou les personnes clé(e)s </w:t>
      </w:r>
      <w:r w:rsidRPr="007104FF">
        <w:rPr>
          <w:rFonts w:ascii="Candara" w:hAnsi="Candara" w:cs="Calibri"/>
          <w:sz w:val="24"/>
          <w:szCs w:val="24"/>
          <w:lang w:val="fr-FR"/>
        </w:rPr>
        <w:t xml:space="preserve">qui sera responsable de l’analyse des données. La plate-forme de gestion de données par défaut sera </w:t>
      </w:r>
      <w:proofErr w:type="spellStart"/>
      <w:r>
        <w:rPr>
          <w:rFonts w:ascii="Candara" w:hAnsi="Candara" w:cs="Calibri"/>
          <w:sz w:val="24"/>
          <w:szCs w:val="24"/>
          <w:lang w:val="fr-FR"/>
        </w:rPr>
        <w:t>SurveyCTO</w:t>
      </w:r>
      <w:proofErr w:type="spellEnd"/>
      <w:r w:rsidRPr="007104FF">
        <w:rPr>
          <w:rFonts w:ascii="Candara" w:hAnsi="Candara" w:cs="Calibri"/>
          <w:sz w:val="24"/>
          <w:szCs w:val="24"/>
          <w:lang w:val="fr-FR"/>
        </w:rPr>
        <w:t>, qui sera considérée comme stockage principal et outil de monitoring, et comme outil de base d’analyse. Toutefois, les soumissionnaires retenus seront encouragés à exporter les données vers un logiciel d’analyse de leur choix pour effectuer les analyses pertinentes. Malaria Consortium préfère travailler avec S</w:t>
      </w:r>
      <w:r>
        <w:rPr>
          <w:rFonts w:ascii="Candara" w:hAnsi="Candara" w:cs="Calibri"/>
          <w:sz w:val="24"/>
          <w:szCs w:val="24"/>
          <w:lang w:val="fr-FR"/>
        </w:rPr>
        <w:t>tata</w:t>
      </w:r>
      <w:r w:rsidRPr="007104FF">
        <w:rPr>
          <w:rFonts w:ascii="Candara" w:hAnsi="Candara" w:cs="Calibri"/>
          <w:sz w:val="24"/>
          <w:szCs w:val="24"/>
          <w:lang w:val="fr-FR"/>
        </w:rPr>
        <w:t>, mais les autres logiciels de statistiques traditionnels</w:t>
      </w:r>
      <w:r w:rsidR="00004036">
        <w:rPr>
          <w:rFonts w:ascii="Candara" w:hAnsi="Candara" w:cs="Calibri"/>
          <w:sz w:val="24"/>
          <w:szCs w:val="24"/>
          <w:lang w:val="fr-FR"/>
        </w:rPr>
        <w:t xml:space="preserve"> (SPSS, R et SAS)</w:t>
      </w:r>
      <w:r w:rsidRPr="007104FF">
        <w:rPr>
          <w:rFonts w:ascii="Candara" w:hAnsi="Candara" w:cs="Calibri"/>
          <w:sz w:val="24"/>
          <w:szCs w:val="24"/>
          <w:lang w:val="fr-FR"/>
        </w:rPr>
        <w:t xml:space="preserve"> sont autorisés. Malaria Consortium ne rendra pas disponible un tel logiciel, et le soumissionnaire doit être déjà en possession des licences appropriées pour leur logiciel de choix.</w:t>
      </w:r>
      <w:r>
        <w:rPr>
          <w:rFonts w:ascii="Candara" w:hAnsi="Candara" w:cs="Calibri"/>
          <w:sz w:val="24"/>
          <w:szCs w:val="24"/>
          <w:lang w:val="fr-FR"/>
        </w:rPr>
        <w:t xml:space="preserve"> Toutefois, le soumissionnaire fournira en plus des rapports une base de données apurée ayant servie à l’analyse au format .</w:t>
      </w:r>
      <w:proofErr w:type="spellStart"/>
      <w:r>
        <w:rPr>
          <w:rFonts w:ascii="Candara" w:hAnsi="Candara" w:cs="Calibri"/>
          <w:sz w:val="24"/>
          <w:szCs w:val="24"/>
          <w:lang w:val="fr-FR"/>
        </w:rPr>
        <w:t>xls</w:t>
      </w:r>
      <w:proofErr w:type="spellEnd"/>
      <w:r>
        <w:rPr>
          <w:rFonts w:ascii="Candara" w:hAnsi="Candara" w:cs="Calibri"/>
          <w:sz w:val="24"/>
          <w:szCs w:val="24"/>
          <w:lang w:val="fr-FR"/>
        </w:rPr>
        <w:t xml:space="preserve"> et le programme de production de tableaux et figures au format .do.</w:t>
      </w:r>
    </w:p>
    <w:p w14:paraId="2FBC6461" w14:textId="77777777" w:rsidR="00476D60" w:rsidRPr="007104FF" w:rsidRDefault="00476D60" w:rsidP="00476D60">
      <w:pPr>
        <w:spacing w:line="276" w:lineRule="auto"/>
        <w:jc w:val="both"/>
        <w:rPr>
          <w:rFonts w:ascii="Candara" w:hAnsi="Candara" w:cs="Calibri"/>
          <w:sz w:val="24"/>
          <w:szCs w:val="24"/>
          <w:lang w:val="fr-FR"/>
        </w:rPr>
      </w:pPr>
    </w:p>
    <w:p w14:paraId="6963B13B" w14:textId="77777777" w:rsidR="00476D60" w:rsidRPr="007104FF" w:rsidRDefault="00476D60" w:rsidP="00476D60">
      <w:pPr>
        <w:spacing w:line="276" w:lineRule="auto"/>
        <w:jc w:val="both"/>
        <w:rPr>
          <w:rFonts w:ascii="Candara" w:hAnsi="Candara" w:cs="Calibri"/>
          <w:b/>
          <w:i/>
          <w:sz w:val="24"/>
          <w:szCs w:val="24"/>
          <w:u w:val="single"/>
          <w:lang w:val="fr-FR"/>
        </w:rPr>
      </w:pPr>
      <w:r w:rsidRPr="007104FF">
        <w:rPr>
          <w:rFonts w:ascii="Candara" w:hAnsi="Candara" w:cs="Calibri"/>
          <w:b/>
          <w:i/>
          <w:sz w:val="24"/>
          <w:szCs w:val="24"/>
          <w:u w:val="single"/>
          <w:lang w:val="fr-FR"/>
        </w:rPr>
        <w:t xml:space="preserve">Reportage </w:t>
      </w:r>
    </w:p>
    <w:p w14:paraId="30931607" w14:textId="77777777" w:rsidR="00476D60" w:rsidRPr="007104FF" w:rsidRDefault="00476D60" w:rsidP="00476D60">
      <w:pPr>
        <w:spacing w:line="276" w:lineRule="auto"/>
        <w:jc w:val="both"/>
        <w:rPr>
          <w:rFonts w:ascii="Candara" w:hAnsi="Candara" w:cs="Calibri"/>
          <w:sz w:val="24"/>
          <w:szCs w:val="24"/>
          <w:u w:val="single"/>
          <w:lang w:val="fr-FR"/>
        </w:rPr>
      </w:pPr>
    </w:p>
    <w:p w14:paraId="15C0CC1C" w14:textId="77777777" w:rsidR="00476D60" w:rsidRDefault="00476D60" w:rsidP="00476D60">
      <w:pPr>
        <w:spacing w:line="276" w:lineRule="auto"/>
        <w:jc w:val="both"/>
        <w:rPr>
          <w:rFonts w:ascii="Candara" w:hAnsi="Candara" w:cs="Calibri"/>
          <w:sz w:val="24"/>
          <w:szCs w:val="24"/>
          <w:lang w:val="fr-FR"/>
        </w:rPr>
      </w:pPr>
      <w:r w:rsidRPr="007104FF">
        <w:rPr>
          <w:rFonts w:ascii="Candara" w:hAnsi="Candara" w:cs="Calibri"/>
          <w:sz w:val="24"/>
          <w:szCs w:val="24"/>
          <w:lang w:val="fr-FR"/>
        </w:rPr>
        <w:t>Le soumissionnaire fournira un rapport p</w:t>
      </w:r>
      <w:r>
        <w:rPr>
          <w:rFonts w:ascii="Candara" w:hAnsi="Candara" w:cs="Calibri"/>
          <w:sz w:val="24"/>
          <w:szCs w:val="24"/>
          <w:lang w:val="fr-FR"/>
        </w:rPr>
        <w:t>réliminaire d’analyse. Ce rapport doit être disponible 10 jours maximum après la signature des contrats. Le rapport final doit être disponible au maximum 1 semaine avant le cycle suivant.</w:t>
      </w:r>
    </w:p>
    <w:p w14:paraId="2062FF2D" w14:textId="77777777" w:rsidR="00476D60" w:rsidRPr="007104FF" w:rsidRDefault="00476D60" w:rsidP="00476D60">
      <w:pPr>
        <w:spacing w:line="276" w:lineRule="auto"/>
        <w:jc w:val="both"/>
        <w:rPr>
          <w:rFonts w:ascii="Candara" w:hAnsi="Candara" w:cs="Calibri"/>
          <w:sz w:val="24"/>
          <w:szCs w:val="24"/>
          <w:lang w:val="fr-FR"/>
        </w:rPr>
      </w:pPr>
    </w:p>
    <w:p w14:paraId="10E4333F" w14:textId="77777777" w:rsidR="00476D60" w:rsidRDefault="00476D60" w:rsidP="00476D60">
      <w:pPr>
        <w:spacing w:line="276" w:lineRule="auto"/>
        <w:jc w:val="both"/>
        <w:rPr>
          <w:rFonts w:ascii="Candara" w:hAnsi="Candara" w:cs="Calibri"/>
          <w:sz w:val="24"/>
          <w:szCs w:val="24"/>
          <w:lang w:val="fr-FR"/>
        </w:rPr>
      </w:pPr>
      <w:r w:rsidRPr="007104FF">
        <w:rPr>
          <w:rFonts w:ascii="Candara" w:hAnsi="Candara" w:cs="Calibri"/>
          <w:sz w:val="24"/>
          <w:szCs w:val="24"/>
          <w:lang w:val="fr-FR"/>
        </w:rPr>
        <w:t>A l’issue de la collecte de données de terrain, le soumissionnaire fournira un rapport final d’analyse narratif, avec la description de tous les résultats et les indicateurs en conformité avec la validité du contrat. Le soumissionnaire fournira par la même occasion un rapport financier complet. La langue de tou</w:t>
      </w:r>
      <w:r>
        <w:rPr>
          <w:rFonts w:ascii="Candara" w:hAnsi="Candara" w:cs="Calibri"/>
          <w:sz w:val="24"/>
          <w:szCs w:val="24"/>
          <w:lang w:val="fr-FR"/>
        </w:rPr>
        <w:t>s les rapports sera le Français et l’anglais.</w:t>
      </w:r>
      <w:r w:rsidRPr="007104FF">
        <w:rPr>
          <w:rFonts w:ascii="Candara" w:hAnsi="Candara" w:cs="Calibri"/>
          <w:sz w:val="24"/>
          <w:szCs w:val="24"/>
          <w:lang w:val="fr-FR"/>
        </w:rPr>
        <w:t xml:space="preserve">  </w:t>
      </w:r>
    </w:p>
    <w:p w14:paraId="1D8EBFD2" w14:textId="77777777" w:rsidR="00476D60" w:rsidRPr="007104FF" w:rsidRDefault="00476D60" w:rsidP="00476D60">
      <w:pPr>
        <w:spacing w:line="276" w:lineRule="auto"/>
        <w:jc w:val="both"/>
        <w:rPr>
          <w:rFonts w:ascii="Candara" w:hAnsi="Candara" w:cs="Calibri"/>
          <w:sz w:val="24"/>
          <w:szCs w:val="24"/>
          <w:lang w:val="fr-FR"/>
        </w:rPr>
      </w:pPr>
    </w:p>
    <w:p w14:paraId="08619D28" w14:textId="77777777" w:rsidR="00476D60" w:rsidRPr="002426DE" w:rsidRDefault="00476D60" w:rsidP="00476D60">
      <w:pPr>
        <w:numPr>
          <w:ilvl w:val="0"/>
          <w:numId w:val="26"/>
        </w:numPr>
        <w:spacing w:after="200" w:line="276" w:lineRule="auto"/>
        <w:jc w:val="both"/>
        <w:rPr>
          <w:rFonts w:ascii="Candara" w:hAnsi="Candara" w:cs="Calibri"/>
          <w:b/>
          <w:sz w:val="24"/>
          <w:szCs w:val="24"/>
          <w:lang w:val="fr-FR"/>
        </w:rPr>
      </w:pPr>
      <w:r w:rsidRPr="002426DE">
        <w:rPr>
          <w:rFonts w:ascii="Candara" w:hAnsi="Candara" w:cs="Calibri"/>
          <w:b/>
          <w:sz w:val="24"/>
          <w:szCs w:val="24"/>
          <w:lang w:val="fr-FR"/>
        </w:rPr>
        <w:t>Livrables</w:t>
      </w:r>
    </w:p>
    <w:p w14:paraId="23D6AE0C" w14:textId="77777777" w:rsidR="00476D60" w:rsidRPr="002426DE" w:rsidRDefault="00476D60" w:rsidP="00476D60">
      <w:pPr>
        <w:pStyle w:val="Default"/>
        <w:spacing w:line="276" w:lineRule="auto"/>
        <w:ind w:left="426"/>
        <w:jc w:val="both"/>
        <w:rPr>
          <w:rFonts w:ascii="Candara" w:hAnsi="Candara"/>
          <w:b/>
          <w:bCs/>
          <w:lang w:val="fr-FR"/>
        </w:rPr>
      </w:pPr>
      <w:r w:rsidRPr="002426DE">
        <w:rPr>
          <w:rFonts w:ascii="Candara" w:hAnsi="Candara"/>
          <w:b/>
          <w:bCs/>
          <w:lang w:val="fr-FR"/>
        </w:rPr>
        <w:t xml:space="preserve">Livrable </w:t>
      </w:r>
      <w:proofErr w:type="gramStart"/>
      <w:r w:rsidRPr="002426DE">
        <w:rPr>
          <w:rFonts w:ascii="Candara" w:hAnsi="Candara"/>
          <w:b/>
          <w:bCs/>
          <w:lang w:val="fr-FR"/>
        </w:rPr>
        <w:t>1:</w:t>
      </w:r>
      <w:proofErr w:type="gramEnd"/>
      <w:r w:rsidRPr="002426DE">
        <w:rPr>
          <w:rFonts w:ascii="Candara" w:hAnsi="Candara"/>
          <w:b/>
          <w:bCs/>
          <w:lang w:val="fr-FR"/>
        </w:rPr>
        <w:t xml:space="preserve"> Formation </w:t>
      </w:r>
    </w:p>
    <w:p w14:paraId="7DDFC3C5" w14:textId="77777777" w:rsidR="00476D60" w:rsidRPr="002426DE" w:rsidRDefault="00476D60" w:rsidP="00476D60">
      <w:pPr>
        <w:pStyle w:val="Default"/>
        <w:spacing w:line="276" w:lineRule="auto"/>
        <w:jc w:val="both"/>
        <w:rPr>
          <w:rFonts w:ascii="Candara" w:hAnsi="Candara"/>
          <w:bCs/>
          <w:lang w:val="fr-FR"/>
        </w:rPr>
      </w:pPr>
    </w:p>
    <w:p w14:paraId="0C664C5D" w14:textId="77777777" w:rsidR="00476D60" w:rsidRPr="002426DE" w:rsidRDefault="00476D60" w:rsidP="00476D60">
      <w:pPr>
        <w:pStyle w:val="Default"/>
        <w:spacing w:line="276" w:lineRule="auto"/>
        <w:jc w:val="both"/>
        <w:rPr>
          <w:rFonts w:ascii="Candara" w:hAnsi="Candara"/>
          <w:bCs/>
          <w:lang w:val="fr-FR"/>
        </w:rPr>
      </w:pPr>
      <w:r w:rsidRPr="002426DE">
        <w:rPr>
          <w:rFonts w:ascii="Candara" w:hAnsi="Candara"/>
          <w:bCs/>
          <w:lang w:val="fr-FR"/>
        </w:rPr>
        <w:t>Le Cabinet doit former le personnel chargé de l’enquête (agents enquêteurs, superviseurs, analystes de données et autres personnels compétents) avant le début des travaux sur le terrain. Un rapport de deux pages au maximum sur les points pertinents de la formation ainsi que la liste de présence doivent être soumis.</w:t>
      </w:r>
    </w:p>
    <w:p w14:paraId="4B8C3F8F" w14:textId="77777777" w:rsidR="00476D60" w:rsidRPr="002426DE" w:rsidRDefault="00476D60" w:rsidP="00476D60">
      <w:pPr>
        <w:pStyle w:val="Default"/>
        <w:spacing w:line="276" w:lineRule="auto"/>
        <w:ind w:left="426"/>
        <w:jc w:val="both"/>
        <w:rPr>
          <w:rFonts w:ascii="Candara" w:hAnsi="Candara"/>
          <w:b/>
          <w:bCs/>
          <w:lang w:val="fr-FR"/>
        </w:rPr>
      </w:pPr>
    </w:p>
    <w:p w14:paraId="5E6F3E7E" w14:textId="77777777" w:rsidR="00476D60" w:rsidRPr="002426DE" w:rsidRDefault="00476D60" w:rsidP="00476D60">
      <w:pPr>
        <w:pStyle w:val="Default"/>
        <w:spacing w:line="276" w:lineRule="auto"/>
        <w:ind w:left="426"/>
        <w:jc w:val="both"/>
        <w:rPr>
          <w:rFonts w:ascii="Candara" w:hAnsi="Candara"/>
          <w:bCs/>
          <w:lang w:val="fr-FR"/>
        </w:rPr>
      </w:pPr>
      <w:r w:rsidRPr="002426DE">
        <w:rPr>
          <w:rFonts w:ascii="Candara" w:hAnsi="Candara"/>
          <w:b/>
          <w:bCs/>
          <w:lang w:val="fr-FR"/>
        </w:rPr>
        <w:t xml:space="preserve">Livrable </w:t>
      </w:r>
      <w:proofErr w:type="gramStart"/>
      <w:r w:rsidRPr="002426DE">
        <w:rPr>
          <w:rFonts w:ascii="Candara" w:hAnsi="Candara"/>
          <w:b/>
          <w:bCs/>
          <w:lang w:val="fr-FR"/>
        </w:rPr>
        <w:t>2:</w:t>
      </w:r>
      <w:proofErr w:type="gramEnd"/>
      <w:r w:rsidRPr="002426DE">
        <w:rPr>
          <w:rFonts w:ascii="Candara" w:hAnsi="Candara"/>
          <w:b/>
          <w:bCs/>
          <w:lang w:val="fr-FR"/>
        </w:rPr>
        <w:t xml:space="preserve"> Collecte de données de terrain</w:t>
      </w:r>
    </w:p>
    <w:p w14:paraId="6CBD570A" w14:textId="77777777" w:rsidR="00476D60" w:rsidRPr="002426DE" w:rsidRDefault="00476D60" w:rsidP="00476D60">
      <w:pPr>
        <w:spacing w:line="276" w:lineRule="auto"/>
        <w:jc w:val="both"/>
        <w:rPr>
          <w:rFonts w:ascii="Candara" w:hAnsi="Candara" w:cs="Calibri"/>
          <w:bCs/>
          <w:sz w:val="24"/>
          <w:szCs w:val="24"/>
          <w:lang w:val="fr-FR"/>
        </w:rPr>
      </w:pPr>
    </w:p>
    <w:p w14:paraId="36C110B8" w14:textId="77777777" w:rsidR="00476D60" w:rsidRPr="002426DE" w:rsidRDefault="00476D60" w:rsidP="00476D60">
      <w:pPr>
        <w:spacing w:after="240" w:line="276" w:lineRule="auto"/>
        <w:jc w:val="both"/>
        <w:rPr>
          <w:rFonts w:ascii="Candara" w:hAnsi="Candara" w:cs="Calibri"/>
          <w:bCs/>
          <w:sz w:val="24"/>
          <w:szCs w:val="24"/>
          <w:lang w:val="fr-FR"/>
        </w:rPr>
      </w:pPr>
      <w:r w:rsidRPr="002426DE">
        <w:rPr>
          <w:rFonts w:ascii="Candara" w:hAnsi="Candara" w:cs="Calibri"/>
          <w:bCs/>
          <w:sz w:val="24"/>
          <w:szCs w:val="24"/>
          <w:lang w:val="fr-FR"/>
        </w:rPr>
        <w:t>Le Cabinet doit collecter et charger les données d’enquête sur la plate-forme numérique de Malaria Consortium (</w:t>
      </w:r>
      <w:proofErr w:type="spellStart"/>
      <w:r>
        <w:rPr>
          <w:rFonts w:ascii="Candara" w:hAnsi="Candara" w:cs="Calibri"/>
          <w:bCs/>
          <w:sz w:val="24"/>
          <w:szCs w:val="24"/>
          <w:lang w:val="fr-FR"/>
        </w:rPr>
        <w:t>SurveyCTO</w:t>
      </w:r>
      <w:proofErr w:type="spellEnd"/>
      <w:r w:rsidRPr="002426DE">
        <w:rPr>
          <w:rFonts w:ascii="Candara" w:hAnsi="Candara" w:cs="Calibri"/>
          <w:bCs/>
          <w:sz w:val="24"/>
          <w:szCs w:val="24"/>
          <w:lang w:val="fr-FR"/>
        </w:rPr>
        <w:t xml:space="preserve">), en utilisant des dispositifs numériques portables adéquats pour la collecte des données et en disposant d’un accès approprié à Internet pour le chargement des données sur la plateforme </w:t>
      </w:r>
      <w:proofErr w:type="spellStart"/>
      <w:r>
        <w:rPr>
          <w:rFonts w:ascii="Candara" w:hAnsi="Candara" w:cs="Calibri"/>
          <w:bCs/>
          <w:sz w:val="24"/>
          <w:szCs w:val="24"/>
          <w:lang w:val="fr-FR"/>
        </w:rPr>
        <w:t>SurveyCTO</w:t>
      </w:r>
      <w:proofErr w:type="spellEnd"/>
      <w:r>
        <w:rPr>
          <w:rFonts w:ascii="Candara" w:hAnsi="Candara" w:cs="Calibri"/>
          <w:bCs/>
          <w:sz w:val="24"/>
          <w:szCs w:val="24"/>
          <w:lang w:val="fr-FR"/>
        </w:rPr>
        <w:t>.</w:t>
      </w:r>
    </w:p>
    <w:p w14:paraId="27AB46E0" w14:textId="77777777" w:rsidR="00476D60" w:rsidRPr="002426DE" w:rsidRDefault="00476D60" w:rsidP="00476D60">
      <w:pPr>
        <w:spacing w:after="240" w:line="276" w:lineRule="auto"/>
        <w:jc w:val="both"/>
        <w:rPr>
          <w:rFonts w:ascii="Candara" w:hAnsi="Candara" w:cs="Calibri"/>
          <w:bCs/>
          <w:sz w:val="24"/>
          <w:szCs w:val="24"/>
          <w:lang w:val="fr-FR"/>
        </w:rPr>
      </w:pPr>
      <w:r w:rsidRPr="002426DE">
        <w:rPr>
          <w:rFonts w:ascii="Candara" w:hAnsi="Candara" w:cs="Calibri"/>
          <w:bCs/>
          <w:sz w:val="24"/>
          <w:szCs w:val="24"/>
          <w:lang w:val="fr-FR"/>
        </w:rPr>
        <w:t xml:space="preserve">         </w:t>
      </w:r>
      <w:r w:rsidRPr="002426DE">
        <w:rPr>
          <w:rFonts w:ascii="Candara" w:hAnsi="Candara" w:cs="Calibri"/>
          <w:b/>
          <w:bCs/>
          <w:sz w:val="24"/>
          <w:szCs w:val="24"/>
          <w:lang w:val="fr-FR"/>
        </w:rPr>
        <w:t>Livrable 3</w:t>
      </w:r>
      <w:r w:rsidRPr="002426DE">
        <w:rPr>
          <w:rFonts w:ascii="Candara" w:hAnsi="Candara" w:cs="Calibri"/>
          <w:bCs/>
          <w:sz w:val="24"/>
          <w:szCs w:val="24"/>
          <w:lang w:val="fr-FR"/>
        </w:rPr>
        <w:t> : Rapport intermédiaire</w:t>
      </w:r>
    </w:p>
    <w:p w14:paraId="70CAC5A8" w14:textId="77777777" w:rsidR="00476D60" w:rsidRDefault="00476D60" w:rsidP="00476D60">
      <w:pPr>
        <w:spacing w:after="240" w:line="276" w:lineRule="auto"/>
        <w:jc w:val="both"/>
        <w:rPr>
          <w:rFonts w:ascii="Candara" w:hAnsi="Candara" w:cs="Calibri"/>
          <w:bCs/>
          <w:sz w:val="24"/>
          <w:szCs w:val="24"/>
          <w:lang w:val="fr-FR"/>
        </w:rPr>
      </w:pPr>
      <w:r w:rsidRPr="002426DE">
        <w:rPr>
          <w:rFonts w:ascii="Candara" w:hAnsi="Candara" w:cs="Calibri"/>
          <w:bCs/>
          <w:sz w:val="24"/>
          <w:szCs w:val="24"/>
          <w:lang w:val="fr-FR"/>
        </w:rPr>
        <w:t xml:space="preserve">         </w:t>
      </w:r>
      <w:r w:rsidRPr="002426DE">
        <w:rPr>
          <w:rFonts w:ascii="Candara" w:hAnsi="Candara" w:cs="Calibri"/>
          <w:b/>
          <w:bCs/>
          <w:sz w:val="24"/>
          <w:szCs w:val="24"/>
          <w:lang w:val="fr-FR"/>
        </w:rPr>
        <w:t>Livrable 4</w:t>
      </w:r>
      <w:r w:rsidRPr="002426DE">
        <w:rPr>
          <w:rFonts w:ascii="Candara" w:hAnsi="Candara" w:cs="Calibri"/>
          <w:bCs/>
          <w:sz w:val="24"/>
          <w:szCs w:val="24"/>
          <w:lang w:val="fr-FR"/>
        </w:rPr>
        <w:t> : Le rapport analytique final</w:t>
      </w:r>
      <w:r>
        <w:rPr>
          <w:rFonts w:ascii="Candara" w:hAnsi="Candara" w:cs="Calibri"/>
          <w:bCs/>
          <w:sz w:val="24"/>
          <w:szCs w:val="24"/>
          <w:lang w:val="fr-FR"/>
        </w:rPr>
        <w:t>, base de données et programme informatique (</w:t>
      </w:r>
      <w:proofErr w:type="spellStart"/>
      <w:r>
        <w:rPr>
          <w:rFonts w:ascii="Candara" w:hAnsi="Candara" w:cs="Calibri"/>
          <w:bCs/>
          <w:sz w:val="24"/>
          <w:szCs w:val="24"/>
          <w:lang w:val="fr-FR"/>
        </w:rPr>
        <w:t>dofile</w:t>
      </w:r>
      <w:proofErr w:type="spellEnd"/>
      <w:r>
        <w:rPr>
          <w:rFonts w:ascii="Candara" w:hAnsi="Candara" w:cs="Calibri"/>
          <w:bCs/>
          <w:sz w:val="24"/>
          <w:szCs w:val="24"/>
          <w:lang w:val="fr-FR"/>
        </w:rPr>
        <w:t xml:space="preserve">) </w:t>
      </w:r>
    </w:p>
    <w:p w14:paraId="2E0DA668" w14:textId="77777777" w:rsidR="00476D60" w:rsidRPr="007104FF" w:rsidRDefault="00476D60" w:rsidP="00476D60">
      <w:pPr>
        <w:widowControl w:val="0"/>
        <w:numPr>
          <w:ilvl w:val="0"/>
          <w:numId w:val="26"/>
        </w:numPr>
        <w:spacing w:after="0" w:line="276" w:lineRule="auto"/>
        <w:jc w:val="both"/>
        <w:rPr>
          <w:rFonts w:ascii="Candara" w:hAnsi="Candara" w:cs="Calibri"/>
          <w:b/>
          <w:sz w:val="24"/>
          <w:szCs w:val="24"/>
          <w:lang w:val="fr-FR"/>
        </w:rPr>
      </w:pPr>
      <w:r w:rsidRPr="007104FF">
        <w:rPr>
          <w:rFonts w:ascii="Candara" w:hAnsi="Candara" w:cs="Calibri"/>
          <w:b/>
          <w:sz w:val="24"/>
          <w:szCs w:val="24"/>
          <w:lang w:val="fr-FR"/>
        </w:rPr>
        <w:t>Date limite d’exécution des services</w:t>
      </w:r>
    </w:p>
    <w:p w14:paraId="5CB5BEAB" w14:textId="77777777" w:rsidR="00476D60" w:rsidRPr="007104FF" w:rsidRDefault="00476D60" w:rsidP="00476D60">
      <w:pPr>
        <w:spacing w:line="276" w:lineRule="auto"/>
        <w:jc w:val="both"/>
        <w:rPr>
          <w:rFonts w:ascii="Candara" w:hAnsi="Candara" w:cs="Calibri"/>
          <w:sz w:val="24"/>
          <w:szCs w:val="24"/>
          <w:lang w:val="fr-FR"/>
        </w:rPr>
      </w:pPr>
    </w:p>
    <w:p w14:paraId="43608CA0" w14:textId="77777777" w:rsidR="00476D60" w:rsidRPr="007104FF" w:rsidRDefault="00476D60" w:rsidP="00476D60">
      <w:pPr>
        <w:spacing w:line="276" w:lineRule="auto"/>
        <w:jc w:val="both"/>
        <w:rPr>
          <w:rFonts w:ascii="Candara" w:hAnsi="Candara" w:cs="Calibri"/>
          <w:sz w:val="24"/>
          <w:szCs w:val="24"/>
          <w:lang w:val="fr-FR"/>
        </w:rPr>
      </w:pPr>
      <w:r w:rsidRPr="007104FF">
        <w:rPr>
          <w:rFonts w:ascii="Candara" w:hAnsi="Candara" w:cs="Calibri"/>
          <w:sz w:val="24"/>
          <w:szCs w:val="24"/>
          <w:lang w:val="fr-FR"/>
        </w:rPr>
        <w:t xml:space="preserve">Le </w:t>
      </w:r>
      <w:r>
        <w:rPr>
          <w:rFonts w:ascii="Candara" w:hAnsi="Candara" w:cs="Calibri"/>
          <w:sz w:val="24"/>
          <w:szCs w:val="24"/>
          <w:lang w:val="fr-FR"/>
        </w:rPr>
        <w:t>Cabinet</w:t>
      </w:r>
      <w:r w:rsidRPr="007104FF">
        <w:rPr>
          <w:rFonts w:ascii="Candara" w:hAnsi="Candara" w:cs="Calibri"/>
          <w:sz w:val="24"/>
          <w:szCs w:val="24"/>
          <w:lang w:val="fr-FR"/>
        </w:rPr>
        <w:t xml:space="preserve"> s'engage à respecter les délais suivants :</w:t>
      </w:r>
    </w:p>
    <w:p w14:paraId="69FF9C2E" w14:textId="77777777" w:rsidR="00476D60" w:rsidRPr="007104FF" w:rsidRDefault="00476D60" w:rsidP="00476D60">
      <w:pPr>
        <w:widowControl w:val="0"/>
        <w:numPr>
          <w:ilvl w:val="0"/>
          <w:numId w:val="27"/>
        </w:numPr>
        <w:spacing w:after="0" w:line="276" w:lineRule="auto"/>
        <w:jc w:val="both"/>
        <w:rPr>
          <w:rFonts w:ascii="Candara" w:hAnsi="Candara" w:cs="Calibri"/>
          <w:sz w:val="24"/>
          <w:szCs w:val="24"/>
          <w:lang w:val="fr-FR"/>
        </w:rPr>
      </w:pPr>
      <w:r w:rsidRPr="007104FF">
        <w:rPr>
          <w:rFonts w:ascii="Candara" w:hAnsi="Candara" w:cs="Calibri"/>
          <w:sz w:val="24"/>
          <w:szCs w:val="24"/>
          <w:lang w:val="fr-FR"/>
        </w:rPr>
        <w:t>Formation du personnel de l’enquête terminée dans</w:t>
      </w:r>
      <w:r>
        <w:rPr>
          <w:rFonts w:ascii="Candara" w:hAnsi="Candara" w:cs="Calibri"/>
          <w:sz w:val="24"/>
          <w:szCs w:val="24"/>
          <w:lang w:val="fr-FR"/>
        </w:rPr>
        <w:t xml:space="preserve"> un délai maximum </w:t>
      </w:r>
      <w:r w:rsidRPr="00B45163">
        <w:rPr>
          <w:rFonts w:ascii="Candara" w:hAnsi="Candara" w:cs="Calibri"/>
          <w:sz w:val="24"/>
          <w:szCs w:val="24"/>
          <w:lang w:val="fr-FR"/>
        </w:rPr>
        <w:t>de [2] jours à</w:t>
      </w:r>
      <w:r w:rsidRPr="007104FF">
        <w:rPr>
          <w:rFonts w:ascii="Candara" w:hAnsi="Candara" w:cs="Calibri"/>
          <w:sz w:val="24"/>
          <w:szCs w:val="24"/>
          <w:lang w:val="fr-FR"/>
        </w:rPr>
        <w:t xml:space="preserve"> compter de la signature du présent contrat. Le rapport de formation (maximum 2 pages) avec la feuille de présence et les résultats de l’évaluation des récipiendaires en annexe doit être remis dans les 48 heures suivant l’achèvement de la formation. Malaria Consortium prendra en compte ces activités dans les 24 heures suivant la réception du rapport de formation. Si des éclaircissements supplémentaires sont nécessaires, un délai maximum de 24 heures </w:t>
      </w:r>
      <w:r>
        <w:rPr>
          <w:rFonts w:ascii="Candara" w:hAnsi="Candara" w:cs="Calibri"/>
          <w:sz w:val="24"/>
          <w:szCs w:val="24"/>
          <w:lang w:val="fr-FR"/>
        </w:rPr>
        <w:t xml:space="preserve">(jour ouvrable) </w:t>
      </w:r>
      <w:r w:rsidRPr="007104FF">
        <w:rPr>
          <w:rFonts w:ascii="Candara" w:hAnsi="Candara" w:cs="Calibri"/>
          <w:sz w:val="24"/>
          <w:szCs w:val="24"/>
          <w:lang w:val="fr-FR"/>
        </w:rPr>
        <w:t>sera accordé pour la nouvelle soumission. Sinon, la preuve de livraison ne sera pas approuvée par Malaria Consortium.</w:t>
      </w:r>
    </w:p>
    <w:p w14:paraId="0E178A8C" w14:textId="77777777" w:rsidR="00476D60" w:rsidRPr="00B45163" w:rsidRDefault="00476D60" w:rsidP="00476D60">
      <w:pPr>
        <w:widowControl w:val="0"/>
        <w:numPr>
          <w:ilvl w:val="0"/>
          <w:numId w:val="27"/>
        </w:numPr>
        <w:spacing w:after="0" w:line="276" w:lineRule="auto"/>
        <w:jc w:val="both"/>
        <w:rPr>
          <w:rFonts w:ascii="Candara" w:hAnsi="Candara" w:cs="Calibri"/>
          <w:sz w:val="24"/>
          <w:szCs w:val="24"/>
          <w:lang w:val="fr-FR"/>
        </w:rPr>
      </w:pPr>
      <w:r w:rsidRPr="007104FF">
        <w:rPr>
          <w:rFonts w:ascii="Candara" w:hAnsi="Candara" w:cs="Calibri"/>
          <w:sz w:val="24"/>
          <w:szCs w:val="24"/>
          <w:lang w:val="fr-FR"/>
        </w:rPr>
        <w:t>Enquête sur le terrain (collecte de données) achevée dans un délai maximum de</w:t>
      </w:r>
      <w:r>
        <w:rPr>
          <w:rFonts w:ascii="Candara" w:hAnsi="Candara" w:cs="Calibri"/>
          <w:sz w:val="24"/>
          <w:szCs w:val="24"/>
          <w:lang w:val="fr-FR"/>
        </w:rPr>
        <w:t xml:space="preserve"> </w:t>
      </w:r>
      <w:r w:rsidRPr="00B45163">
        <w:rPr>
          <w:rFonts w:ascii="Candara" w:hAnsi="Candara" w:cs="Calibri"/>
          <w:sz w:val="24"/>
          <w:szCs w:val="24"/>
          <w:lang w:val="fr-FR"/>
        </w:rPr>
        <w:t>sept [7] jours à compter de la signature du présent contrat ;</w:t>
      </w:r>
    </w:p>
    <w:p w14:paraId="382ADDAC" w14:textId="77777777" w:rsidR="00476D60" w:rsidRPr="00B45163" w:rsidRDefault="00476D60" w:rsidP="00476D60">
      <w:pPr>
        <w:widowControl w:val="0"/>
        <w:numPr>
          <w:ilvl w:val="0"/>
          <w:numId w:val="27"/>
        </w:numPr>
        <w:spacing w:after="0" w:line="276" w:lineRule="auto"/>
        <w:jc w:val="both"/>
        <w:rPr>
          <w:rFonts w:ascii="Candara" w:hAnsi="Candara" w:cs="Calibri"/>
          <w:sz w:val="24"/>
          <w:szCs w:val="24"/>
          <w:lang w:val="fr-FR"/>
        </w:rPr>
      </w:pPr>
      <w:r w:rsidRPr="00B45163">
        <w:rPr>
          <w:rFonts w:ascii="Candara" w:hAnsi="Candara" w:cs="Calibri"/>
          <w:sz w:val="24"/>
          <w:szCs w:val="24"/>
          <w:lang w:val="fr-FR"/>
        </w:rPr>
        <w:t xml:space="preserve">Rapport préliminaire remis dans les </w:t>
      </w:r>
      <w:r>
        <w:rPr>
          <w:rFonts w:ascii="Candara" w:hAnsi="Candara" w:cs="Calibri"/>
          <w:sz w:val="24"/>
          <w:szCs w:val="24"/>
          <w:lang w:val="fr-FR"/>
        </w:rPr>
        <w:t>3</w:t>
      </w:r>
      <w:r w:rsidRPr="00B45163">
        <w:rPr>
          <w:rFonts w:ascii="Candara" w:hAnsi="Candara" w:cs="Calibri"/>
          <w:sz w:val="24"/>
          <w:szCs w:val="24"/>
          <w:lang w:val="fr-FR"/>
        </w:rPr>
        <w:t xml:space="preserve"> jours suivant l'achèvement des travaux d'enquête sur le terrain.</w:t>
      </w:r>
    </w:p>
    <w:p w14:paraId="5F86EDE4" w14:textId="77777777" w:rsidR="00476D60" w:rsidRPr="00B45163" w:rsidRDefault="00476D60" w:rsidP="00476D60">
      <w:pPr>
        <w:widowControl w:val="0"/>
        <w:numPr>
          <w:ilvl w:val="0"/>
          <w:numId w:val="27"/>
        </w:numPr>
        <w:spacing w:after="120" w:line="276" w:lineRule="auto"/>
        <w:ind w:left="714" w:hanging="357"/>
        <w:jc w:val="both"/>
        <w:rPr>
          <w:rFonts w:ascii="Candara" w:hAnsi="Candara" w:cs="Calibri"/>
          <w:sz w:val="24"/>
          <w:szCs w:val="24"/>
          <w:lang w:val="fr-FR"/>
        </w:rPr>
      </w:pPr>
      <w:r w:rsidRPr="00B45163">
        <w:rPr>
          <w:rFonts w:ascii="Candara" w:hAnsi="Candara" w:cs="Calibri"/>
          <w:sz w:val="24"/>
          <w:szCs w:val="24"/>
          <w:lang w:val="fr-FR"/>
        </w:rPr>
        <w:t xml:space="preserve">Rapport final remis dans la semaine </w:t>
      </w:r>
      <w:r>
        <w:rPr>
          <w:rFonts w:ascii="Candara" w:hAnsi="Candara" w:cs="Calibri"/>
          <w:sz w:val="24"/>
          <w:szCs w:val="24"/>
          <w:lang w:val="fr-FR"/>
        </w:rPr>
        <w:t>suivant la soumission du rapport préliminaire</w:t>
      </w:r>
      <w:r w:rsidRPr="00B45163">
        <w:rPr>
          <w:rFonts w:ascii="Candara" w:hAnsi="Candara" w:cs="Calibri"/>
          <w:sz w:val="24"/>
          <w:szCs w:val="24"/>
          <w:lang w:val="fr-FR"/>
        </w:rPr>
        <w:t xml:space="preserve">. </w:t>
      </w:r>
    </w:p>
    <w:p w14:paraId="56613EEF" w14:textId="77777777" w:rsidR="00476D60" w:rsidRPr="00E5518D" w:rsidRDefault="00476D60" w:rsidP="00476D60">
      <w:pPr>
        <w:widowControl w:val="0"/>
        <w:numPr>
          <w:ilvl w:val="0"/>
          <w:numId w:val="27"/>
        </w:numPr>
        <w:spacing w:after="120" w:line="276" w:lineRule="auto"/>
        <w:ind w:left="714" w:hanging="357"/>
        <w:jc w:val="both"/>
        <w:rPr>
          <w:rFonts w:ascii="Candara" w:hAnsi="Candara" w:cs="Calibri"/>
          <w:sz w:val="24"/>
          <w:szCs w:val="24"/>
          <w:lang w:val="fr-FR"/>
        </w:rPr>
      </w:pPr>
      <w:r w:rsidRPr="00E5518D">
        <w:rPr>
          <w:rFonts w:ascii="Candara" w:hAnsi="Candara" w:cs="Calibri"/>
          <w:sz w:val="24"/>
          <w:szCs w:val="24"/>
          <w:lang w:val="fr-FR"/>
        </w:rPr>
        <w:t>En cas de non-respect des délais susmentionnés, ces retards feront l'objet de pénalités équivalant à 0,5% de la valeur du contrat pour chaque jour de retard, jusqu'à concurrence de 10% de la valeur du contrat. Le paiement des retards sera déterminé par rapport à la preuve de livraison des délais d’exécution, toute pénalité pouvant être déduite du paiement final.</w:t>
      </w:r>
    </w:p>
    <w:p w14:paraId="6BB8415F" w14:textId="14680D8E" w:rsidR="00476D60" w:rsidRDefault="00476D60" w:rsidP="00476D60">
      <w:pPr>
        <w:spacing w:line="276" w:lineRule="auto"/>
        <w:jc w:val="both"/>
        <w:rPr>
          <w:rFonts w:ascii="Candara" w:hAnsi="Candara" w:cs="Calibri"/>
          <w:sz w:val="24"/>
          <w:szCs w:val="24"/>
          <w:lang w:val="fr-FR"/>
        </w:rPr>
      </w:pPr>
    </w:p>
    <w:p w14:paraId="76DCB841" w14:textId="77777777" w:rsidR="000271F3" w:rsidRPr="007104FF" w:rsidRDefault="000271F3" w:rsidP="00476D60">
      <w:pPr>
        <w:spacing w:line="276" w:lineRule="auto"/>
        <w:jc w:val="both"/>
        <w:rPr>
          <w:rFonts w:ascii="Candara" w:hAnsi="Candara" w:cs="Calibri"/>
          <w:sz w:val="24"/>
          <w:szCs w:val="24"/>
          <w:lang w:val="fr-FR"/>
        </w:rPr>
      </w:pPr>
    </w:p>
    <w:p w14:paraId="16B0BE98" w14:textId="77777777" w:rsidR="00476D60" w:rsidRPr="00204F05" w:rsidRDefault="00476D60" w:rsidP="00476D60">
      <w:pPr>
        <w:spacing w:line="276" w:lineRule="auto"/>
        <w:jc w:val="both"/>
        <w:rPr>
          <w:rFonts w:ascii="Candara" w:hAnsi="Candara" w:cs="Calibri"/>
          <w:b/>
          <w:sz w:val="24"/>
          <w:szCs w:val="24"/>
          <w:lang w:val="fr-FR"/>
        </w:rPr>
      </w:pPr>
      <w:r w:rsidRPr="00204F05">
        <w:rPr>
          <w:rFonts w:ascii="Candara" w:hAnsi="Candara" w:cs="Calibri"/>
          <w:b/>
          <w:sz w:val="24"/>
          <w:szCs w:val="24"/>
          <w:lang w:val="fr-FR"/>
        </w:rPr>
        <w:lastRenderedPageBreak/>
        <w:t>Gestion financière et rapportage</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843"/>
        <w:gridCol w:w="4961"/>
        <w:gridCol w:w="2126"/>
      </w:tblGrid>
      <w:tr w:rsidR="00476D60" w:rsidRPr="00204F05" w14:paraId="566022A9" w14:textId="77777777" w:rsidTr="00F83B44">
        <w:tc>
          <w:tcPr>
            <w:tcW w:w="1135" w:type="dxa"/>
            <w:shd w:val="clear" w:color="auto" w:fill="auto"/>
          </w:tcPr>
          <w:p w14:paraId="158C820C" w14:textId="77777777" w:rsidR="00476D60" w:rsidRPr="00204F05" w:rsidRDefault="00476D60" w:rsidP="00F83B44">
            <w:pPr>
              <w:spacing w:line="276" w:lineRule="auto"/>
              <w:jc w:val="both"/>
              <w:rPr>
                <w:rFonts w:ascii="Candara" w:hAnsi="Candara" w:cs="Calibri"/>
                <w:b/>
                <w:sz w:val="24"/>
                <w:szCs w:val="24"/>
                <w:lang w:val="fr-FR"/>
              </w:rPr>
            </w:pPr>
            <w:r w:rsidRPr="00204F05">
              <w:rPr>
                <w:rFonts w:ascii="Candara" w:hAnsi="Candara" w:cs="Calibri"/>
                <w:b/>
                <w:sz w:val="24"/>
                <w:szCs w:val="24"/>
                <w:lang w:val="fr-FR"/>
              </w:rPr>
              <w:t>Tranche</w:t>
            </w:r>
          </w:p>
        </w:tc>
        <w:tc>
          <w:tcPr>
            <w:tcW w:w="1843" w:type="dxa"/>
            <w:shd w:val="clear" w:color="auto" w:fill="auto"/>
          </w:tcPr>
          <w:p w14:paraId="4A65BC02" w14:textId="77777777" w:rsidR="00476D60" w:rsidRPr="00204F05" w:rsidRDefault="00476D60" w:rsidP="00F83B44">
            <w:pPr>
              <w:spacing w:line="276" w:lineRule="auto"/>
              <w:jc w:val="both"/>
              <w:rPr>
                <w:rFonts w:ascii="Candara" w:hAnsi="Candara" w:cs="Calibri"/>
                <w:b/>
                <w:sz w:val="24"/>
                <w:szCs w:val="24"/>
                <w:lang w:val="fr-FR"/>
              </w:rPr>
            </w:pPr>
            <w:r w:rsidRPr="00204F05">
              <w:rPr>
                <w:rFonts w:ascii="Candara" w:hAnsi="Candara" w:cs="Calibri"/>
                <w:b/>
                <w:sz w:val="24"/>
                <w:szCs w:val="24"/>
                <w:lang w:val="fr-FR"/>
              </w:rPr>
              <w:t>Description</w:t>
            </w:r>
          </w:p>
        </w:tc>
        <w:tc>
          <w:tcPr>
            <w:tcW w:w="4961" w:type="dxa"/>
          </w:tcPr>
          <w:p w14:paraId="3BEA74AA" w14:textId="77777777" w:rsidR="00476D60" w:rsidRPr="00204F05" w:rsidRDefault="00476D60" w:rsidP="00F83B44">
            <w:pPr>
              <w:spacing w:line="276" w:lineRule="auto"/>
              <w:jc w:val="both"/>
              <w:rPr>
                <w:rFonts w:ascii="Candara" w:hAnsi="Candara" w:cs="Calibri"/>
                <w:b/>
                <w:sz w:val="24"/>
                <w:szCs w:val="24"/>
                <w:lang w:val="fr-FR"/>
              </w:rPr>
            </w:pPr>
            <w:r w:rsidRPr="00204F05">
              <w:rPr>
                <w:rFonts w:ascii="Candara" w:hAnsi="Candara" w:cs="Calibri"/>
                <w:b/>
                <w:sz w:val="24"/>
                <w:szCs w:val="24"/>
                <w:lang w:val="fr-FR"/>
              </w:rPr>
              <w:t>Documents requis</w:t>
            </w:r>
          </w:p>
        </w:tc>
        <w:tc>
          <w:tcPr>
            <w:tcW w:w="2126" w:type="dxa"/>
            <w:shd w:val="clear" w:color="auto" w:fill="auto"/>
          </w:tcPr>
          <w:p w14:paraId="2C8A72BA" w14:textId="77777777" w:rsidR="00476D60" w:rsidRPr="00204F05" w:rsidRDefault="00476D60" w:rsidP="00F83B44">
            <w:pPr>
              <w:spacing w:line="276" w:lineRule="auto"/>
              <w:jc w:val="both"/>
              <w:rPr>
                <w:rFonts w:ascii="Candara" w:hAnsi="Candara" w:cs="Calibri"/>
                <w:b/>
                <w:sz w:val="24"/>
                <w:szCs w:val="24"/>
                <w:lang w:val="fr-FR"/>
              </w:rPr>
            </w:pPr>
            <w:r w:rsidRPr="00204F05">
              <w:rPr>
                <w:rFonts w:ascii="Candara" w:hAnsi="Candara" w:cs="Calibri"/>
                <w:b/>
                <w:sz w:val="24"/>
                <w:szCs w:val="24"/>
                <w:lang w:val="fr-FR"/>
              </w:rPr>
              <w:t>Rapport Financier</w:t>
            </w:r>
          </w:p>
        </w:tc>
      </w:tr>
      <w:tr w:rsidR="00476D60" w:rsidRPr="00204F05" w14:paraId="4A1F5ECE" w14:textId="77777777" w:rsidTr="00F83B44">
        <w:tc>
          <w:tcPr>
            <w:tcW w:w="1135" w:type="dxa"/>
            <w:shd w:val="clear" w:color="auto" w:fill="auto"/>
          </w:tcPr>
          <w:p w14:paraId="411E861C" w14:textId="77777777" w:rsidR="00476D60" w:rsidRPr="00204F05" w:rsidRDefault="00476D60" w:rsidP="00F83B44">
            <w:pPr>
              <w:spacing w:line="276" w:lineRule="auto"/>
              <w:jc w:val="both"/>
              <w:rPr>
                <w:rFonts w:ascii="Candara" w:hAnsi="Candara" w:cs="Calibri"/>
                <w:sz w:val="24"/>
                <w:szCs w:val="24"/>
                <w:lang w:val="fr-FR"/>
              </w:rPr>
            </w:pPr>
          </w:p>
          <w:p w14:paraId="4B0BBC69" w14:textId="77777777" w:rsidR="00476D60" w:rsidRPr="00204F05" w:rsidRDefault="00476D60" w:rsidP="00F83B44">
            <w:pPr>
              <w:spacing w:line="276" w:lineRule="auto"/>
              <w:jc w:val="both"/>
              <w:rPr>
                <w:rFonts w:ascii="Candara" w:hAnsi="Candara" w:cs="Calibri"/>
                <w:sz w:val="24"/>
                <w:szCs w:val="24"/>
                <w:lang w:val="fr-FR"/>
              </w:rPr>
            </w:pPr>
          </w:p>
          <w:p w14:paraId="1C47D2A0" w14:textId="77777777" w:rsidR="00476D60" w:rsidRPr="00204F05" w:rsidRDefault="00476D60" w:rsidP="00F83B44">
            <w:pPr>
              <w:spacing w:line="276" w:lineRule="auto"/>
              <w:jc w:val="both"/>
              <w:rPr>
                <w:rFonts w:ascii="Candara" w:hAnsi="Candara" w:cs="Calibri"/>
                <w:sz w:val="24"/>
                <w:szCs w:val="24"/>
                <w:lang w:val="fr-FR"/>
              </w:rPr>
            </w:pPr>
            <w:r w:rsidRPr="00204F05">
              <w:rPr>
                <w:rFonts w:ascii="Candara" w:hAnsi="Candara" w:cs="Calibri"/>
                <w:sz w:val="24"/>
                <w:szCs w:val="24"/>
                <w:lang w:val="fr-FR"/>
              </w:rPr>
              <w:t>1</w:t>
            </w:r>
          </w:p>
        </w:tc>
        <w:tc>
          <w:tcPr>
            <w:tcW w:w="1843" w:type="dxa"/>
            <w:shd w:val="clear" w:color="auto" w:fill="auto"/>
          </w:tcPr>
          <w:p w14:paraId="0A680CBC" w14:textId="77777777" w:rsidR="00476D60" w:rsidRPr="00204F05" w:rsidRDefault="00476D60" w:rsidP="00F83B44">
            <w:pPr>
              <w:spacing w:line="276" w:lineRule="auto"/>
              <w:jc w:val="both"/>
              <w:rPr>
                <w:rFonts w:ascii="Candara" w:hAnsi="Candara" w:cs="Calibri"/>
                <w:sz w:val="24"/>
                <w:szCs w:val="24"/>
                <w:lang w:val="fr-FR"/>
              </w:rPr>
            </w:pPr>
          </w:p>
          <w:p w14:paraId="54BD3C25" w14:textId="77777777" w:rsidR="00476D60" w:rsidRPr="00204F05" w:rsidRDefault="00476D60" w:rsidP="00F83B44">
            <w:pPr>
              <w:spacing w:line="276" w:lineRule="auto"/>
              <w:jc w:val="both"/>
              <w:rPr>
                <w:rFonts w:ascii="Candara" w:hAnsi="Candara" w:cs="Calibri"/>
                <w:sz w:val="24"/>
                <w:szCs w:val="24"/>
                <w:lang w:val="fr-FR"/>
              </w:rPr>
            </w:pPr>
          </w:p>
          <w:p w14:paraId="7AB94BF4" w14:textId="77777777" w:rsidR="00476D60" w:rsidRPr="00204F05" w:rsidRDefault="00476D60" w:rsidP="00F83B44">
            <w:pPr>
              <w:spacing w:line="276" w:lineRule="auto"/>
              <w:jc w:val="both"/>
              <w:rPr>
                <w:rFonts w:ascii="Candara" w:hAnsi="Candara" w:cs="Calibri"/>
                <w:sz w:val="24"/>
                <w:szCs w:val="24"/>
                <w:lang w:val="fr-FR"/>
              </w:rPr>
            </w:pPr>
            <w:r w:rsidRPr="00204F05">
              <w:rPr>
                <w:rFonts w:ascii="Candara" w:hAnsi="Candara" w:cs="Calibri"/>
                <w:sz w:val="24"/>
                <w:szCs w:val="24"/>
                <w:lang w:val="fr-FR"/>
              </w:rPr>
              <w:t>Paiement unique après la réalisation des services</w:t>
            </w:r>
          </w:p>
        </w:tc>
        <w:tc>
          <w:tcPr>
            <w:tcW w:w="4961" w:type="dxa"/>
          </w:tcPr>
          <w:p w14:paraId="31A3BACA" w14:textId="77777777" w:rsidR="00476D60" w:rsidRPr="00204F05" w:rsidRDefault="00476D60" w:rsidP="00476D60">
            <w:pPr>
              <w:widowControl w:val="0"/>
              <w:numPr>
                <w:ilvl w:val="0"/>
                <w:numId w:val="28"/>
              </w:numPr>
              <w:spacing w:after="0" w:line="276" w:lineRule="auto"/>
              <w:jc w:val="both"/>
              <w:rPr>
                <w:rFonts w:ascii="Candara" w:hAnsi="Candara" w:cs="Calibri"/>
                <w:sz w:val="24"/>
                <w:szCs w:val="24"/>
                <w:lang w:val="fr-FR"/>
              </w:rPr>
            </w:pPr>
            <w:r w:rsidRPr="00204F05">
              <w:rPr>
                <w:rFonts w:ascii="Candara" w:hAnsi="Candara" w:cs="Calibri"/>
                <w:sz w:val="24"/>
                <w:szCs w:val="24"/>
                <w:lang w:val="fr-FR"/>
              </w:rPr>
              <w:t>Rapport de formation des agents enquêteurs</w:t>
            </w:r>
          </w:p>
          <w:p w14:paraId="7141A7A1" w14:textId="77777777" w:rsidR="00476D60" w:rsidRPr="00911EE6" w:rsidRDefault="00476D60" w:rsidP="00476D60">
            <w:pPr>
              <w:widowControl w:val="0"/>
              <w:numPr>
                <w:ilvl w:val="0"/>
                <w:numId w:val="28"/>
              </w:numPr>
              <w:spacing w:after="0" w:line="276" w:lineRule="auto"/>
              <w:jc w:val="both"/>
              <w:rPr>
                <w:rFonts w:ascii="Candara" w:hAnsi="Candara" w:cs="Calibri"/>
                <w:sz w:val="24"/>
                <w:szCs w:val="24"/>
                <w:lang w:val="fr-FR"/>
              </w:rPr>
            </w:pPr>
            <w:r w:rsidRPr="00911EE6">
              <w:rPr>
                <w:rFonts w:ascii="Candara" w:hAnsi="Candara" w:cs="Calibri"/>
                <w:sz w:val="24"/>
                <w:szCs w:val="24"/>
                <w:lang w:val="fr-FR"/>
              </w:rPr>
              <w:t>Listes de présence des agents enquêteurs à la formation (numéro téléphone et signature)</w:t>
            </w:r>
          </w:p>
          <w:p w14:paraId="7EC8B9EE" w14:textId="77777777" w:rsidR="00476D60" w:rsidRPr="005D775A" w:rsidRDefault="00476D60" w:rsidP="00476D60">
            <w:pPr>
              <w:widowControl w:val="0"/>
              <w:numPr>
                <w:ilvl w:val="0"/>
                <w:numId w:val="28"/>
              </w:numPr>
              <w:spacing w:after="0" w:line="276" w:lineRule="auto"/>
              <w:jc w:val="both"/>
              <w:rPr>
                <w:rFonts w:ascii="Candara" w:hAnsi="Candara" w:cs="Calibri"/>
                <w:sz w:val="24"/>
                <w:szCs w:val="24"/>
                <w:lang w:val="fr-FR"/>
              </w:rPr>
            </w:pPr>
            <w:r w:rsidRPr="00204F05">
              <w:rPr>
                <w:rFonts w:ascii="Candara" w:hAnsi="Candara" w:cs="Calibri"/>
                <w:sz w:val="24"/>
                <w:szCs w:val="24"/>
                <w:lang w:val="fr-FR"/>
              </w:rPr>
              <w:t>Résultats d’évaluation des agents enquêteurs</w:t>
            </w:r>
          </w:p>
          <w:p w14:paraId="7591D5C5" w14:textId="77777777" w:rsidR="00476D60" w:rsidRPr="00204F05" w:rsidRDefault="00476D60" w:rsidP="00476D60">
            <w:pPr>
              <w:widowControl w:val="0"/>
              <w:numPr>
                <w:ilvl w:val="0"/>
                <w:numId w:val="28"/>
              </w:numPr>
              <w:spacing w:after="0" w:line="276" w:lineRule="auto"/>
              <w:jc w:val="both"/>
              <w:rPr>
                <w:rFonts w:ascii="Candara" w:hAnsi="Candara" w:cs="Calibri"/>
                <w:sz w:val="24"/>
                <w:szCs w:val="24"/>
                <w:lang w:val="fr-FR"/>
              </w:rPr>
            </w:pPr>
            <w:r w:rsidRPr="00204F05">
              <w:rPr>
                <w:rFonts w:ascii="Candara" w:hAnsi="Candara" w:cs="Calibri"/>
                <w:sz w:val="24"/>
                <w:szCs w:val="24"/>
                <w:lang w:val="fr-FR"/>
              </w:rPr>
              <w:t>Rapport d’enquête de terrain (rapport préliminaire)</w:t>
            </w:r>
          </w:p>
          <w:p w14:paraId="76C2DF93" w14:textId="77777777" w:rsidR="00476D60" w:rsidRPr="00204F05" w:rsidRDefault="00476D60" w:rsidP="00476D60">
            <w:pPr>
              <w:widowControl w:val="0"/>
              <w:numPr>
                <w:ilvl w:val="0"/>
                <w:numId w:val="28"/>
              </w:numPr>
              <w:spacing w:after="0" w:line="276" w:lineRule="auto"/>
              <w:jc w:val="both"/>
              <w:rPr>
                <w:rFonts w:ascii="Candara" w:hAnsi="Candara" w:cs="Calibri"/>
                <w:sz w:val="24"/>
                <w:szCs w:val="24"/>
                <w:lang w:val="fr-FR"/>
              </w:rPr>
            </w:pPr>
            <w:r w:rsidRPr="00204F05">
              <w:rPr>
                <w:rFonts w:ascii="Candara" w:hAnsi="Candara" w:cs="Calibri"/>
                <w:sz w:val="24"/>
                <w:szCs w:val="24"/>
                <w:lang w:val="fr-FR"/>
              </w:rPr>
              <w:t xml:space="preserve">Données envoyées vers </w:t>
            </w:r>
            <w:proofErr w:type="spellStart"/>
            <w:r>
              <w:rPr>
                <w:rFonts w:ascii="Candara" w:hAnsi="Candara" w:cs="Calibri"/>
                <w:sz w:val="24"/>
                <w:szCs w:val="24"/>
                <w:lang w:val="fr-FR"/>
              </w:rPr>
              <w:t>SurveyCTO</w:t>
            </w:r>
            <w:proofErr w:type="spellEnd"/>
          </w:p>
          <w:p w14:paraId="2D07F1BB" w14:textId="77777777" w:rsidR="00476D60" w:rsidRDefault="00476D60" w:rsidP="00476D60">
            <w:pPr>
              <w:widowControl w:val="0"/>
              <w:numPr>
                <w:ilvl w:val="0"/>
                <w:numId w:val="28"/>
              </w:numPr>
              <w:spacing w:after="0" w:line="276" w:lineRule="auto"/>
              <w:jc w:val="both"/>
              <w:rPr>
                <w:rFonts w:ascii="Candara" w:hAnsi="Candara" w:cs="Calibri"/>
                <w:sz w:val="24"/>
                <w:szCs w:val="24"/>
                <w:lang w:val="fr-FR"/>
              </w:rPr>
            </w:pPr>
            <w:r w:rsidRPr="00204F05">
              <w:rPr>
                <w:rFonts w:ascii="Candara" w:hAnsi="Candara" w:cs="Calibri"/>
                <w:sz w:val="24"/>
                <w:szCs w:val="24"/>
                <w:lang w:val="fr-FR"/>
              </w:rPr>
              <w:t>Rapport final de l’étude</w:t>
            </w:r>
          </w:p>
          <w:p w14:paraId="24D158FE" w14:textId="77777777" w:rsidR="00476D60" w:rsidRDefault="00476D60" w:rsidP="00476D60">
            <w:pPr>
              <w:widowControl w:val="0"/>
              <w:numPr>
                <w:ilvl w:val="0"/>
                <w:numId w:val="28"/>
              </w:numPr>
              <w:spacing w:after="0" w:line="276" w:lineRule="auto"/>
              <w:jc w:val="both"/>
              <w:rPr>
                <w:rFonts w:ascii="Candara" w:hAnsi="Candara" w:cs="Calibri"/>
                <w:sz w:val="24"/>
                <w:szCs w:val="24"/>
                <w:lang w:val="fr-FR"/>
              </w:rPr>
            </w:pPr>
            <w:r>
              <w:rPr>
                <w:rFonts w:ascii="Candara" w:hAnsi="Candara" w:cs="Calibri"/>
                <w:sz w:val="24"/>
                <w:szCs w:val="24"/>
                <w:lang w:val="fr-FR"/>
              </w:rPr>
              <w:t xml:space="preserve">Base de données et programme </w:t>
            </w:r>
            <w:proofErr w:type="spellStart"/>
            <w:r>
              <w:rPr>
                <w:rFonts w:ascii="Candara" w:hAnsi="Candara" w:cs="Calibri"/>
                <w:sz w:val="24"/>
                <w:szCs w:val="24"/>
                <w:lang w:val="fr-FR"/>
              </w:rPr>
              <w:t>dofile</w:t>
            </w:r>
            <w:proofErr w:type="spellEnd"/>
          </w:p>
          <w:p w14:paraId="0E4FDBBF" w14:textId="77777777" w:rsidR="00476D60" w:rsidRPr="00204F05" w:rsidRDefault="00476D60" w:rsidP="00476D60">
            <w:pPr>
              <w:widowControl w:val="0"/>
              <w:numPr>
                <w:ilvl w:val="0"/>
                <w:numId w:val="28"/>
              </w:numPr>
              <w:spacing w:after="0" w:line="276" w:lineRule="auto"/>
              <w:jc w:val="both"/>
              <w:rPr>
                <w:rFonts w:ascii="Candara" w:hAnsi="Candara" w:cs="Calibri"/>
                <w:sz w:val="24"/>
                <w:szCs w:val="24"/>
                <w:lang w:val="fr-FR"/>
              </w:rPr>
            </w:pPr>
            <w:r>
              <w:rPr>
                <w:rFonts w:ascii="Candara" w:hAnsi="Candara" w:cs="Calibri"/>
                <w:sz w:val="24"/>
                <w:szCs w:val="24"/>
                <w:lang w:val="fr-FR"/>
              </w:rPr>
              <w:t>Facture définitive</w:t>
            </w:r>
          </w:p>
          <w:p w14:paraId="28ADEF34" w14:textId="77777777" w:rsidR="00476D60" w:rsidRPr="00204F05" w:rsidRDefault="00476D60" w:rsidP="00F83B44">
            <w:pPr>
              <w:spacing w:line="276" w:lineRule="auto"/>
              <w:jc w:val="both"/>
              <w:rPr>
                <w:rFonts w:ascii="Candara" w:hAnsi="Candara" w:cs="Calibri"/>
                <w:sz w:val="24"/>
                <w:szCs w:val="24"/>
                <w:lang w:val="fr-FR"/>
              </w:rPr>
            </w:pPr>
          </w:p>
        </w:tc>
        <w:tc>
          <w:tcPr>
            <w:tcW w:w="2126" w:type="dxa"/>
            <w:shd w:val="clear" w:color="auto" w:fill="auto"/>
          </w:tcPr>
          <w:p w14:paraId="33BE55F0" w14:textId="77777777" w:rsidR="00476D60" w:rsidRPr="00204F05" w:rsidRDefault="00476D60" w:rsidP="00F83B44">
            <w:pPr>
              <w:spacing w:line="276" w:lineRule="auto"/>
              <w:jc w:val="both"/>
              <w:rPr>
                <w:rFonts w:ascii="Candara" w:hAnsi="Candara" w:cs="Calibri"/>
                <w:sz w:val="24"/>
                <w:szCs w:val="24"/>
                <w:lang w:val="fr-FR"/>
              </w:rPr>
            </w:pPr>
          </w:p>
          <w:p w14:paraId="27F3ACEF" w14:textId="77777777" w:rsidR="00476D60" w:rsidRPr="00204F05" w:rsidRDefault="00476D60" w:rsidP="00F83B44">
            <w:pPr>
              <w:spacing w:line="276" w:lineRule="auto"/>
              <w:jc w:val="both"/>
              <w:rPr>
                <w:rFonts w:ascii="Candara" w:hAnsi="Candara" w:cs="Calibri"/>
                <w:sz w:val="24"/>
                <w:szCs w:val="24"/>
                <w:lang w:val="fr-FR"/>
              </w:rPr>
            </w:pPr>
          </w:p>
          <w:p w14:paraId="4A3E1102" w14:textId="77777777" w:rsidR="00476D60" w:rsidRPr="00204F05" w:rsidRDefault="00476D60" w:rsidP="00F83B44">
            <w:pPr>
              <w:spacing w:line="276" w:lineRule="auto"/>
              <w:jc w:val="both"/>
              <w:rPr>
                <w:rFonts w:ascii="Candara" w:hAnsi="Candara" w:cs="Calibri"/>
                <w:sz w:val="24"/>
                <w:szCs w:val="24"/>
                <w:lang w:val="fr-FR"/>
              </w:rPr>
            </w:pPr>
            <w:r w:rsidRPr="00204F05">
              <w:rPr>
                <w:rFonts w:ascii="Candara" w:hAnsi="Candara" w:cs="Calibri"/>
                <w:sz w:val="24"/>
                <w:szCs w:val="24"/>
                <w:lang w:val="fr-FR"/>
              </w:rPr>
              <w:t>Oui</w:t>
            </w:r>
          </w:p>
        </w:tc>
      </w:tr>
    </w:tbl>
    <w:p w14:paraId="3084DFF3" w14:textId="77777777" w:rsidR="00476D60" w:rsidRPr="00204F05" w:rsidRDefault="00476D60" w:rsidP="00476D60">
      <w:pPr>
        <w:spacing w:line="276" w:lineRule="auto"/>
        <w:jc w:val="both"/>
        <w:rPr>
          <w:rFonts w:ascii="Candara" w:hAnsi="Candara" w:cs="Calibri"/>
          <w:sz w:val="24"/>
          <w:szCs w:val="24"/>
          <w:lang w:val="fr-FR"/>
        </w:rPr>
      </w:pPr>
    </w:p>
    <w:p w14:paraId="74904251" w14:textId="77777777" w:rsidR="00476D60" w:rsidRPr="00204F05" w:rsidRDefault="00476D60" w:rsidP="00476D60">
      <w:pPr>
        <w:spacing w:line="276" w:lineRule="auto"/>
        <w:ind w:left="2160" w:hanging="2160"/>
        <w:jc w:val="both"/>
        <w:rPr>
          <w:rFonts w:ascii="Candara" w:hAnsi="Candara" w:cs="Calibri"/>
          <w:sz w:val="24"/>
          <w:szCs w:val="24"/>
          <w:lang w:val="fr-FR"/>
        </w:rPr>
      </w:pPr>
      <w:r w:rsidRPr="00204F05">
        <w:rPr>
          <w:rFonts w:ascii="Candara" w:hAnsi="Candara" w:cs="Calibri"/>
          <w:b/>
          <w:bCs/>
          <w:sz w:val="24"/>
          <w:szCs w:val="24"/>
          <w:lang w:val="fr-FR"/>
        </w:rPr>
        <w:t>Condition de paiement :</w:t>
      </w:r>
      <w:r w:rsidRPr="00204F05">
        <w:rPr>
          <w:rFonts w:ascii="Candara" w:hAnsi="Candara" w:cs="Calibri"/>
          <w:sz w:val="24"/>
          <w:szCs w:val="24"/>
          <w:lang w:val="fr-FR"/>
        </w:rPr>
        <w:tab/>
      </w:r>
    </w:p>
    <w:p w14:paraId="5D4D23D8" w14:textId="77777777" w:rsidR="00476D60" w:rsidRPr="007104FF" w:rsidRDefault="00476D60" w:rsidP="00476D60">
      <w:pPr>
        <w:spacing w:line="276" w:lineRule="auto"/>
        <w:jc w:val="both"/>
        <w:rPr>
          <w:rFonts w:ascii="Candara" w:hAnsi="Candara" w:cs="Calibri"/>
          <w:lang w:val="fr-FR"/>
        </w:rPr>
      </w:pPr>
      <w:r w:rsidRPr="00204F05">
        <w:rPr>
          <w:rFonts w:ascii="Candara" w:hAnsi="Candara" w:cs="Calibri"/>
          <w:sz w:val="24"/>
          <w:szCs w:val="24"/>
          <w:lang w:val="fr-FR"/>
        </w:rPr>
        <w:t>Soumettre une preuve de livraison conformément à la clause 5 de l'annexe 1, accompagnée de l'original complet des pièces justificatives.</w:t>
      </w:r>
    </w:p>
    <w:p w14:paraId="73651093" w14:textId="77777777" w:rsidR="00476D60" w:rsidRPr="001B0DCE" w:rsidRDefault="00476D60" w:rsidP="00476D60">
      <w:pPr>
        <w:rPr>
          <w:lang w:val="fr-FR"/>
        </w:rPr>
      </w:pPr>
    </w:p>
    <w:p w14:paraId="0739C1F4" w14:textId="77777777" w:rsidR="00476D60" w:rsidRPr="00D83D48" w:rsidRDefault="00476D60" w:rsidP="00476D60">
      <w:pPr>
        <w:rPr>
          <w:lang w:val="fr-FR"/>
        </w:rPr>
      </w:pPr>
    </w:p>
    <w:p w14:paraId="5DC06754" w14:textId="2BA8C421" w:rsidR="00476D60" w:rsidRDefault="00476D60">
      <w:pPr>
        <w:rPr>
          <w:rFonts w:ascii="Calibri" w:eastAsia="Times New Roman" w:hAnsi="Calibri" w:cs="Calibri"/>
          <w:b/>
          <w:spacing w:val="-5"/>
          <w:lang w:val="fr-FR"/>
        </w:rPr>
      </w:pPr>
    </w:p>
    <w:p w14:paraId="0478ED79" w14:textId="2E3AF960" w:rsidR="00476D60" w:rsidRDefault="00476D60">
      <w:pPr>
        <w:rPr>
          <w:rFonts w:ascii="Calibri" w:eastAsia="Times New Roman" w:hAnsi="Calibri" w:cs="Calibri"/>
          <w:b/>
          <w:spacing w:val="-5"/>
          <w:lang w:val="fr-FR"/>
        </w:rPr>
      </w:pPr>
    </w:p>
    <w:p w14:paraId="277D971E" w14:textId="0C95943F" w:rsidR="00476D60" w:rsidRDefault="00476D60">
      <w:pPr>
        <w:rPr>
          <w:rFonts w:ascii="Calibri" w:eastAsia="Times New Roman" w:hAnsi="Calibri" w:cs="Calibri"/>
          <w:b/>
          <w:spacing w:val="-5"/>
          <w:lang w:val="fr-FR"/>
        </w:rPr>
      </w:pPr>
    </w:p>
    <w:p w14:paraId="6164E776" w14:textId="77108B02" w:rsidR="000271F3" w:rsidRDefault="000271F3">
      <w:pPr>
        <w:rPr>
          <w:rFonts w:ascii="Calibri" w:eastAsia="Times New Roman" w:hAnsi="Calibri" w:cs="Calibri"/>
          <w:b/>
          <w:spacing w:val="-5"/>
          <w:lang w:val="fr-FR"/>
        </w:rPr>
      </w:pPr>
    </w:p>
    <w:p w14:paraId="50B1B034" w14:textId="4BC1AB0F" w:rsidR="000271F3" w:rsidRDefault="000271F3">
      <w:pPr>
        <w:rPr>
          <w:rFonts w:ascii="Calibri" w:eastAsia="Times New Roman" w:hAnsi="Calibri" w:cs="Calibri"/>
          <w:b/>
          <w:spacing w:val="-5"/>
          <w:lang w:val="fr-FR"/>
        </w:rPr>
      </w:pPr>
    </w:p>
    <w:p w14:paraId="5FCC3511" w14:textId="381CA61E" w:rsidR="000271F3" w:rsidRDefault="000271F3">
      <w:pPr>
        <w:rPr>
          <w:rFonts w:ascii="Calibri" w:eastAsia="Times New Roman" w:hAnsi="Calibri" w:cs="Calibri"/>
          <w:b/>
          <w:spacing w:val="-5"/>
          <w:lang w:val="fr-FR"/>
        </w:rPr>
      </w:pPr>
    </w:p>
    <w:p w14:paraId="7E7660D4" w14:textId="1E6DACCA" w:rsidR="000271F3" w:rsidRDefault="000271F3">
      <w:pPr>
        <w:rPr>
          <w:rFonts w:ascii="Calibri" w:eastAsia="Times New Roman" w:hAnsi="Calibri" w:cs="Calibri"/>
          <w:b/>
          <w:spacing w:val="-5"/>
          <w:lang w:val="fr-FR"/>
        </w:rPr>
      </w:pPr>
    </w:p>
    <w:p w14:paraId="708A79F3" w14:textId="77777777" w:rsidR="000271F3" w:rsidRDefault="000271F3">
      <w:pPr>
        <w:rPr>
          <w:rFonts w:ascii="Calibri" w:eastAsia="Times New Roman" w:hAnsi="Calibri" w:cs="Calibri"/>
          <w:b/>
          <w:spacing w:val="-5"/>
          <w:lang w:val="fr-FR"/>
        </w:rPr>
      </w:pPr>
    </w:p>
    <w:p w14:paraId="629D595F" w14:textId="77777777" w:rsidR="00476D60" w:rsidRDefault="00476D60">
      <w:pPr>
        <w:rPr>
          <w:rFonts w:ascii="Calibri" w:eastAsia="Times New Roman" w:hAnsi="Calibri" w:cs="Calibri"/>
          <w:b/>
          <w:spacing w:val="-5"/>
          <w:lang w:val="fr-FR"/>
        </w:rPr>
      </w:pPr>
    </w:p>
    <w:p w14:paraId="28A4DC24" w14:textId="72A0BD2E" w:rsidR="009535ED" w:rsidRDefault="00476D60">
      <w:pPr>
        <w:rPr>
          <w:rFonts w:ascii="Calibri" w:eastAsia="Times New Roman" w:hAnsi="Calibri" w:cs="Calibri"/>
          <w:b/>
          <w:spacing w:val="-5"/>
          <w:lang w:val="fr-FR"/>
        </w:rPr>
      </w:pPr>
      <w:r>
        <w:rPr>
          <w:rFonts w:ascii="Calibri" w:eastAsia="Times New Roman" w:hAnsi="Calibri" w:cs="Calibri"/>
          <w:b/>
          <w:spacing w:val="-5"/>
          <w:lang w:val="fr-FR"/>
        </w:rPr>
        <w:lastRenderedPageBreak/>
        <w:t xml:space="preserve">Annexe </w:t>
      </w:r>
      <w:r w:rsidR="005706BB">
        <w:rPr>
          <w:rFonts w:ascii="Calibri" w:eastAsia="Times New Roman" w:hAnsi="Calibri" w:cs="Calibri"/>
          <w:b/>
          <w:spacing w:val="-5"/>
          <w:lang w:val="fr-FR"/>
        </w:rPr>
        <w:t>3</w:t>
      </w:r>
      <w:r>
        <w:rPr>
          <w:rFonts w:ascii="Calibri" w:eastAsia="Times New Roman" w:hAnsi="Calibri" w:cs="Calibri"/>
          <w:b/>
          <w:spacing w:val="-5"/>
          <w:lang w:val="fr-FR"/>
        </w:rPr>
        <w:t xml:space="preserve"> : </w:t>
      </w:r>
      <w:r w:rsidR="00D973EF">
        <w:rPr>
          <w:rFonts w:ascii="Calibri" w:eastAsia="Times New Roman" w:hAnsi="Calibri" w:cs="Calibri"/>
          <w:b/>
          <w:spacing w:val="-5"/>
          <w:lang w:val="fr-FR"/>
        </w:rPr>
        <w:t>Termes et conditions d’achat de Malaria Cons</w:t>
      </w:r>
      <w:r w:rsidR="00774473">
        <w:rPr>
          <w:rFonts w:ascii="Calibri" w:eastAsia="Times New Roman" w:hAnsi="Calibri" w:cs="Calibri"/>
          <w:b/>
          <w:spacing w:val="-5"/>
          <w:lang w:val="fr-FR"/>
        </w:rPr>
        <w:t>o</w:t>
      </w:r>
      <w:r w:rsidR="00D973EF">
        <w:rPr>
          <w:rFonts w:ascii="Calibri" w:eastAsia="Times New Roman" w:hAnsi="Calibri" w:cs="Calibri"/>
          <w:b/>
          <w:spacing w:val="-5"/>
          <w:lang w:val="fr-FR"/>
        </w:rPr>
        <w:t>rtium</w:t>
      </w:r>
    </w:p>
    <w:p w14:paraId="02103C11" w14:textId="77777777" w:rsidR="00D72843" w:rsidRPr="00D72843" w:rsidRDefault="00D72843" w:rsidP="00D72843">
      <w:pPr>
        <w:spacing w:after="0" w:line="240" w:lineRule="auto"/>
        <w:jc w:val="both"/>
        <w:rPr>
          <w:rFonts w:ascii="Calibri" w:eastAsia="Times New Roman" w:hAnsi="Calibri" w:cs="Calibri"/>
          <w:b/>
          <w:spacing w:val="-5"/>
          <w:lang w:val="fr-FR"/>
        </w:rPr>
      </w:pPr>
    </w:p>
    <w:p w14:paraId="228CB187" w14:textId="77777777" w:rsidR="00D72843" w:rsidRPr="00D72843" w:rsidRDefault="00D72843" w:rsidP="00D72843">
      <w:pPr>
        <w:spacing w:after="0" w:line="240" w:lineRule="auto"/>
        <w:jc w:val="both"/>
        <w:rPr>
          <w:rFonts w:ascii="Calibri" w:eastAsia="Times New Roman" w:hAnsi="Calibri" w:cs="Calibri"/>
          <w:b/>
          <w:color w:val="00B050"/>
          <w:spacing w:val="-5"/>
          <w:lang w:val="fr-FR"/>
        </w:rPr>
      </w:pPr>
    </w:p>
    <w:p w14:paraId="0A834BC8" w14:textId="77777777" w:rsidR="00D72843" w:rsidRPr="00D72843" w:rsidRDefault="00D72843" w:rsidP="00D72843">
      <w:pPr>
        <w:autoSpaceDE w:val="0"/>
        <w:autoSpaceDN w:val="0"/>
        <w:spacing w:after="0" w:line="240" w:lineRule="auto"/>
        <w:ind w:left="432"/>
        <w:rPr>
          <w:rFonts w:ascii="Calibri" w:eastAsia="Times New Roman" w:hAnsi="Calibri" w:cs="Calibri"/>
          <w:b/>
          <w:spacing w:val="-5"/>
          <w:u w:val="single"/>
          <w:lang w:val="fr-FR"/>
        </w:rPr>
      </w:pPr>
      <w:r w:rsidRPr="00D72843">
        <w:rPr>
          <w:rFonts w:ascii="Calibri" w:eastAsia="Times New Roman" w:hAnsi="Calibri" w:cs="Calibri"/>
          <w:b/>
          <w:spacing w:val="-5"/>
          <w:u w:val="single"/>
          <w:lang w:val="fr-FR"/>
        </w:rPr>
        <w:t xml:space="preserve">Termes et conditions d’achat de Malaria Consortium </w:t>
      </w:r>
    </w:p>
    <w:p w14:paraId="69FEF2EC" w14:textId="77777777" w:rsidR="00D72843" w:rsidRPr="00D72843" w:rsidRDefault="00D72843" w:rsidP="00D72843">
      <w:pPr>
        <w:autoSpaceDE w:val="0"/>
        <w:autoSpaceDN w:val="0"/>
        <w:spacing w:after="0" w:line="240" w:lineRule="auto"/>
        <w:rPr>
          <w:rFonts w:ascii="Calibri" w:eastAsia="Times New Roman" w:hAnsi="Calibri" w:cs="Calibri"/>
          <w:b/>
          <w:spacing w:val="-5"/>
          <w:lang w:val="fr-FR"/>
        </w:rPr>
      </w:pPr>
    </w:p>
    <w:p w14:paraId="74BA3B92" w14:textId="77777777" w:rsidR="00D72843" w:rsidRPr="00D72843" w:rsidRDefault="00D72843" w:rsidP="00E950CB">
      <w:pPr>
        <w:numPr>
          <w:ilvl w:val="0"/>
          <w:numId w:val="14"/>
        </w:numPr>
        <w:autoSpaceDE w:val="0"/>
        <w:autoSpaceDN w:val="0"/>
        <w:spacing w:after="0" w:line="240" w:lineRule="auto"/>
        <w:ind w:left="431" w:hanging="431"/>
        <w:jc w:val="both"/>
        <w:rPr>
          <w:rFonts w:ascii="Calibri" w:eastAsia="Times New Roman" w:hAnsi="Calibri" w:cs="Calibri"/>
          <w:b/>
          <w:spacing w:val="-5"/>
          <w:lang w:val="en-GB"/>
        </w:rPr>
      </w:pPr>
      <w:r w:rsidRPr="00D72843">
        <w:rPr>
          <w:rFonts w:ascii="Calibri" w:eastAsia="Times New Roman" w:hAnsi="Calibri" w:cs="Calibri"/>
          <w:b/>
          <w:spacing w:val="-5"/>
          <w:lang w:val="fr-FR"/>
        </w:rPr>
        <w:t>Définitions</w:t>
      </w:r>
      <w:r w:rsidRPr="00D72843">
        <w:rPr>
          <w:rFonts w:ascii="Calibri" w:eastAsia="Times New Roman" w:hAnsi="Calibri" w:cs="Calibri"/>
          <w:b/>
          <w:spacing w:val="-5"/>
          <w:lang w:val="en-GB"/>
        </w:rPr>
        <w:t xml:space="preserve"> et interpretation </w:t>
      </w:r>
    </w:p>
    <w:p w14:paraId="278C4933" w14:textId="77777777" w:rsidR="00D72843" w:rsidRPr="00D72843" w:rsidRDefault="00D72843" w:rsidP="00D72843">
      <w:pPr>
        <w:autoSpaceDE w:val="0"/>
        <w:autoSpaceDN w:val="0"/>
        <w:spacing w:after="0" w:line="240" w:lineRule="auto"/>
        <w:ind w:left="431"/>
        <w:rPr>
          <w:rFonts w:ascii="Calibri" w:eastAsia="Times New Roman" w:hAnsi="Calibri" w:cs="Calibri"/>
          <w:spacing w:val="-5"/>
          <w:lang w:val="fr-FR"/>
        </w:rPr>
      </w:pPr>
      <w:r w:rsidRPr="00D72843">
        <w:rPr>
          <w:rFonts w:ascii="Calibri" w:eastAsia="Times New Roman" w:hAnsi="Calibri" w:cs="Calibri"/>
          <w:spacing w:val="-5"/>
          <w:lang w:val="fr-FR"/>
        </w:rPr>
        <w:t>Ces modalités ("</w:t>
      </w:r>
      <w:r w:rsidRPr="00D72843">
        <w:rPr>
          <w:rFonts w:ascii="Calibri" w:eastAsia="Times New Roman" w:hAnsi="Calibri" w:cs="Calibri"/>
          <w:b/>
          <w:spacing w:val="-5"/>
          <w:lang w:val="fr-FR"/>
        </w:rPr>
        <w:t>conditions</w:t>
      </w:r>
      <w:r w:rsidRPr="00D72843">
        <w:rPr>
          <w:rFonts w:ascii="Calibri" w:eastAsia="Times New Roman" w:hAnsi="Calibri" w:cs="Calibri"/>
          <w:spacing w:val="-5"/>
          <w:lang w:val="fr-FR"/>
        </w:rPr>
        <w:t>") de la partie du contrat entre le fournisseur ("</w:t>
      </w:r>
      <w:r w:rsidRPr="00D72843">
        <w:rPr>
          <w:rFonts w:ascii="Calibri" w:eastAsia="Times New Roman" w:hAnsi="Calibri" w:cs="Calibri"/>
          <w:b/>
          <w:spacing w:val="-5"/>
          <w:lang w:val="fr-FR"/>
        </w:rPr>
        <w:t>fournisseur</w:t>
      </w:r>
      <w:r w:rsidRPr="00D72843">
        <w:rPr>
          <w:rFonts w:ascii="Calibri" w:eastAsia="Times New Roman" w:hAnsi="Calibri" w:cs="Calibri"/>
          <w:spacing w:val="-5"/>
          <w:lang w:val="fr-FR"/>
        </w:rPr>
        <w:t>") et Malaria Consortium (le "</w:t>
      </w:r>
      <w:r w:rsidRPr="00D72843">
        <w:rPr>
          <w:rFonts w:ascii="Calibri" w:eastAsia="Times New Roman" w:hAnsi="Calibri" w:cs="Calibri"/>
          <w:b/>
          <w:spacing w:val="-5"/>
          <w:lang w:val="fr-FR"/>
        </w:rPr>
        <w:t xml:space="preserve">client </w:t>
      </w:r>
      <w:r w:rsidRPr="00D72843">
        <w:rPr>
          <w:rFonts w:ascii="Calibri" w:eastAsia="Times New Roman" w:hAnsi="Calibri" w:cs="Calibri"/>
          <w:spacing w:val="-5"/>
          <w:lang w:val="fr-FR"/>
        </w:rPr>
        <w:t>"), par rapport au bon de commande ("</w:t>
      </w:r>
      <w:r w:rsidRPr="00D72843">
        <w:rPr>
          <w:rFonts w:ascii="Calibri" w:eastAsia="Times New Roman" w:hAnsi="Calibri" w:cs="Calibri"/>
          <w:b/>
          <w:spacing w:val="-5"/>
          <w:lang w:val="fr-FR"/>
        </w:rPr>
        <w:t>commande</w:t>
      </w:r>
      <w:r w:rsidRPr="00D72843">
        <w:rPr>
          <w:rFonts w:ascii="Calibri" w:eastAsia="Times New Roman" w:hAnsi="Calibri" w:cs="Calibri"/>
          <w:spacing w:val="-5"/>
          <w:lang w:val="fr-FR"/>
        </w:rPr>
        <w:t>") (la commande et les conditions se référant au '"</w:t>
      </w:r>
      <w:r w:rsidRPr="00D72843">
        <w:rPr>
          <w:rFonts w:ascii="Calibri" w:eastAsia="Times New Roman" w:hAnsi="Calibri" w:cs="Calibri"/>
          <w:b/>
          <w:spacing w:val="-5"/>
          <w:lang w:val="fr-FR"/>
        </w:rPr>
        <w:t>contrat</w:t>
      </w:r>
      <w:r w:rsidRPr="00D72843">
        <w:rPr>
          <w:rFonts w:ascii="Calibri" w:eastAsia="Times New Roman" w:hAnsi="Calibri" w:cs="Calibri"/>
          <w:spacing w:val="-5"/>
          <w:lang w:val="fr-FR"/>
        </w:rPr>
        <w:t xml:space="preserve">"). Les termes non définis autrement dans le présent document doivent avoir la signification qui leur est attribuée dans la commande applicable. </w:t>
      </w:r>
    </w:p>
    <w:p w14:paraId="4BE0F86D" w14:textId="77777777" w:rsidR="00D72843" w:rsidRPr="00D72843" w:rsidRDefault="00D72843" w:rsidP="00D72843">
      <w:pPr>
        <w:spacing w:after="0" w:line="240" w:lineRule="auto"/>
        <w:ind w:left="431"/>
        <w:rPr>
          <w:rFonts w:ascii="Calibri" w:eastAsia="Times New Roman" w:hAnsi="Calibri" w:cs="Calibri"/>
          <w:b/>
          <w:spacing w:val="-5"/>
          <w:lang w:val="fr-FR"/>
        </w:rPr>
      </w:pPr>
    </w:p>
    <w:p w14:paraId="10A751B4" w14:textId="77777777" w:rsidR="00D72843" w:rsidRPr="00D72843" w:rsidRDefault="00D72843" w:rsidP="00E950CB">
      <w:pPr>
        <w:numPr>
          <w:ilvl w:val="0"/>
          <w:numId w:val="14"/>
        </w:numPr>
        <w:spacing w:after="60" w:line="240" w:lineRule="auto"/>
        <w:ind w:left="431" w:hanging="431"/>
        <w:jc w:val="both"/>
        <w:rPr>
          <w:rFonts w:ascii="Calibri" w:eastAsia="Times New Roman" w:hAnsi="Calibri" w:cs="Calibri"/>
          <w:b/>
          <w:spacing w:val="-5"/>
          <w:lang w:val="fr-FR"/>
        </w:rPr>
      </w:pPr>
      <w:r w:rsidRPr="00D72843">
        <w:rPr>
          <w:rFonts w:ascii="Calibri" w:eastAsia="Times New Roman" w:hAnsi="Calibri" w:cs="Calibri"/>
          <w:b/>
          <w:spacing w:val="-5"/>
          <w:lang w:val="fr-FR"/>
        </w:rPr>
        <w:t>Qualité et défauts</w:t>
      </w:r>
    </w:p>
    <w:p w14:paraId="7DF633A3" w14:textId="77777777" w:rsidR="00D72843" w:rsidRPr="00D72843" w:rsidRDefault="00D72843" w:rsidP="00E950CB">
      <w:pPr>
        <w:numPr>
          <w:ilvl w:val="1"/>
          <w:numId w:val="14"/>
        </w:numPr>
        <w:tabs>
          <w:tab w:val="left" w:pos="426"/>
        </w:tabs>
        <w:spacing w:after="0" w:line="240" w:lineRule="auto"/>
        <w:ind w:left="426" w:hanging="426"/>
        <w:jc w:val="both"/>
        <w:rPr>
          <w:rFonts w:ascii="Calibri" w:eastAsia="Times New Roman" w:hAnsi="Calibri" w:cs="Calibri"/>
          <w:b/>
          <w:spacing w:val="-5"/>
          <w:lang w:val="fr-FR"/>
        </w:rPr>
      </w:pPr>
      <w:r w:rsidRPr="00D72843">
        <w:rPr>
          <w:rFonts w:ascii="Calibri" w:eastAsia="Times New Roman" w:hAnsi="Calibri" w:cs="Calibri"/>
          <w:spacing w:val="-5"/>
          <w:lang w:val="fr-FR"/>
        </w:rPr>
        <w:t xml:space="preserve">Les biens et services doivent, de manière appropriée : </w:t>
      </w:r>
    </w:p>
    <w:p w14:paraId="6927FED4" w14:textId="77777777" w:rsidR="00D72843" w:rsidRPr="00D72843" w:rsidRDefault="00D72843" w:rsidP="00E950CB">
      <w:pPr>
        <w:numPr>
          <w:ilvl w:val="0"/>
          <w:numId w:val="15"/>
        </w:numPr>
        <w:autoSpaceDE w:val="0"/>
        <w:autoSpaceDN w:val="0"/>
        <w:adjustRightInd w:val="0"/>
        <w:spacing w:after="0" w:line="240" w:lineRule="auto"/>
        <w:jc w:val="both"/>
        <w:rPr>
          <w:rFonts w:ascii="Calibri" w:eastAsia="Times New Roman" w:hAnsi="Calibri" w:cs="Calibri"/>
          <w:spacing w:val="-5"/>
          <w:lang w:val="fr-FR" w:eastAsia="en-GB"/>
        </w:rPr>
      </w:pPr>
      <w:r w:rsidRPr="00D72843">
        <w:rPr>
          <w:rFonts w:ascii="Calibri" w:eastAsia="Times New Roman" w:hAnsi="Calibri" w:cs="Calibri"/>
          <w:spacing w:val="-5"/>
          <w:lang w:val="fr-FR"/>
        </w:rPr>
        <w:t xml:space="preserve"> </w:t>
      </w:r>
      <w:proofErr w:type="gramStart"/>
      <w:r w:rsidRPr="00D72843">
        <w:rPr>
          <w:rFonts w:ascii="Calibri" w:eastAsia="Times New Roman" w:hAnsi="Calibri" w:cs="Calibri"/>
          <w:spacing w:val="-5"/>
          <w:lang w:val="fr-FR"/>
        </w:rPr>
        <w:t>correspondre</w:t>
      </w:r>
      <w:proofErr w:type="gramEnd"/>
      <w:r w:rsidRPr="00D72843">
        <w:rPr>
          <w:rFonts w:ascii="Calibri" w:eastAsia="Times New Roman" w:hAnsi="Calibri" w:cs="Calibri"/>
          <w:spacing w:val="-5"/>
          <w:lang w:val="fr-FR"/>
        </w:rPr>
        <w:t xml:space="preserve"> à leur description dans le bon de commande et dans n'importe quelles spécifications communiquées ;</w:t>
      </w:r>
    </w:p>
    <w:p w14:paraId="3E680CB8" w14:textId="77777777" w:rsidR="00D72843" w:rsidRPr="00D72843" w:rsidRDefault="00D72843" w:rsidP="00E950CB">
      <w:pPr>
        <w:numPr>
          <w:ilvl w:val="0"/>
          <w:numId w:val="15"/>
        </w:numPr>
        <w:autoSpaceDE w:val="0"/>
        <w:autoSpaceDN w:val="0"/>
        <w:adjustRightInd w:val="0"/>
        <w:spacing w:after="0" w:line="240" w:lineRule="auto"/>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se</w:t>
      </w:r>
      <w:proofErr w:type="gramEnd"/>
      <w:r w:rsidRPr="00D72843">
        <w:rPr>
          <w:rFonts w:ascii="Calibri" w:eastAsia="Times New Roman" w:hAnsi="Calibri" w:cs="Calibri"/>
          <w:spacing w:val="-5"/>
          <w:lang w:val="fr-FR"/>
        </w:rPr>
        <w:t xml:space="preserve"> conformer à toutes conditions statutaires et règlementaires applicables ; </w:t>
      </w:r>
    </w:p>
    <w:p w14:paraId="38BCB26E" w14:textId="77777777" w:rsidR="00D72843" w:rsidRPr="00D72843" w:rsidRDefault="00D72843" w:rsidP="00E950CB">
      <w:pPr>
        <w:numPr>
          <w:ilvl w:val="0"/>
          <w:numId w:val="15"/>
        </w:numPr>
        <w:autoSpaceDE w:val="0"/>
        <w:autoSpaceDN w:val="0"/>
        <w:adjustRightInd w:val="0"/>
        <w:spacing w:after="0" w:line="240" w:lineRule="auto"/>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être</w:t>
      </w:r>
      <w:proofErr w:type="gramEnd"/>
      <w:r w:rsidRPr="00D72843">
        <w:rPr>
          <w:rFonts w:ascii="Calibri" w:eastAsia="Times New Roman" w:hAnsi="Calibri" w:cs="Calibri"/>
          <w:spacing w:val="-5"/>
          <w:lang w:val="fr-FR"/>
        </w:rPr>
        <w:t xml:space="preserve"> de la plus haute qualité et correspondre à tout propos tenu par le fournisseur ou porté à la connaissance du fournisseur par le client ; </w:t>
      </w:r>
    </w:p>
    <w:p w14:paraId="3A15F9A8" w14:textId="77777777" w:rsidR="00D72843" w:rsidRPr="00D72843" w:rsidRDefault="00D72843" w:rsidP="00E950CB">
      <w:pPr>
        <w:numPr>
          <w:ilvl w:val="0"/>
          <w:numId w:val="15"/>
        </w:numPr>
        <w:autoSpaceDE w:val="0"/>
        <w:autoSpaceDN w:val="0"/>
        <w:adjustRightInd w:val="0"/>
        <w:spacing w:after="0" w:line="240" w:lineRule="auto"/>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être</w:t>
      </w:r>
      <w:proofErr w:type="gramEnd"/>
      <w:r w:rsidRPr="00D72843">
        <w:rPr>
          <w:rFonts w:ascii="Calibri" w:eastAsia="Times New Roman" w:hAnsi="Calibri" w:cs="Calibri"/>
          <w:spacing w:val="-5"/>
          <w:lang w:val="fr-FR"/>
        </w:rPr>
        <w:t xml:space="preserve"> exempt des défauts en ce qui concerne la conception, le matériel, l'exécution et l'installation ; et </w:t>
      </w:r>
    </w:p>
    <w:p w14:paraId="781777BF" w14:textId="77777777" w:rsidR="00D72843" w:rsidRPr="00D72843" w:rsidRDefault="00D72843" w:rsidP="00E950CB">
      <w:pPr>
        <w:numPr>
          <w:ilvl w:val="0"/>
          <w:numId w:val="15"/>
        </w:numPr>
        <w:autoSpaceDE w:val="0"/>
        <w:autoSpaceDN w:val="0"/>
        <w:adjustRightInd w:val="0"/>
        <w:spacing w:after="0" w:line="240" w:lineRule="auto"/>
        <w:ind w:left="1077" w:hanging="357"/>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être</w:t>
      </w:r>
      <w:proofErr w:type="gramEnd"/>
      <w:r w:rsidRPr="00D72843">
        <w:rPr>
          <w:rFonts w:ascii="Calibri" w:eastAsia="Times New Roman" w:hAnsi="Calibri" w:cs="Calibri"/>
          <w:spacing w:val="-5"/>
          <w:lang w:val="fr-FR"/>
        </w:rPr>
        <w:t xml:space="preserve"> exécuté avec le meilleur soin, la meilleure compétence et la diligence conformément aux bonnes pratiques en vigueur dans les secteurs d’activité, la profession ou le commerce du client. </w:t>
      </w:r>
    </w:p>
    <w:p w14:paraId="3759D2CC" w14:textId="77777777" w:rsidR="00D72843" w:rsidRPr="00D72843" w:rsidRDefault="00D72843" w:rsidP="00E950CB">
      <w:pPr>
        <w:numPr>
          <w:ilvl w:val="1"/>
          <w:numId w:val="14"/>
        </w:numPr>
        <w:tabs>
          <w:tab w:val="left" w:pos="426"/>
        </w:tabs>
        <w:spacing w:after="0" w:line="240" w:lineRule="auto"/>
        <w:ind w:left="426" w:hanging="426"/>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 client (y compris ses représentants ou agents) se réserve le droit à tout moment sans préavis préalable d'auditer les registres du fournisseur, d’inspecter le travail entrepris en rapport avec l'approvisionnement en biens et services et, dans le cas des biens, de les inspecter.   </w:t>
      </w:r>
    </w:p>
    <w:p w14:paraId="0BF8B20E" w14:textId="77777777" w:rsidR="00D72843" w:rsidRPr="00D72843" w:rsidRDefault="00D72843" w:rsidP="00D72843">
      <w:pPr>
        <w:spacing w:after="0" w:line="240" w:lineRule="auto"/>
        <w:ind w:left="426"/>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5ED383AC" w14:textId="77777777" w:rsidR="00D72843" w:rsidRPr="00D72843" w:rsidRDefault="00D72843" w:rsidP="00E950CB">
      <w:pPr>
        <w:numPr>
          <w:ilvl w:val="0"/>
          <w:numId w:val="14"/>
        </w:numPr>
        <w:spacing w:after="60" w:line="240" w:lineRule="auto"/>
        <w:ind w:left="431" w:hanging="431"/>
        <w:jc w:val="both"/>
        <w:rPr>
          <w:rFonts w:ascii="Calibri" w:eastAsia="Times New Roman" w:hAnsi="Calibri" w:cs="Calibri"/>
          <w:b/>
          <w:spacing w:val="-5"/>
          <w:lang w:val="en-GB"/>
        </w:rPr>
      </w:pPr>
      <w:proofErr w:type="spellStart"/>
      <w:r w:rsidRPr="00D72843">
        <w:rPr>
          <w:rFonts w:ascii="Calibri" w:eastAsia="Times New Roman" w:hAnsi="Calibri" w:cs="Calibri"/>
          <w:b/>
          <w:spacing w:val="-5"/>
          <w:lang w:val="en-GB"/>
        </w:rPr>
        <w:t>Normes</w:t>
      </w:r>
      <w:proofErr w:type="spellEnd"/>
      <w:r w:rsidRPr="00D72843">
        <w:rPr>
          <w:rFonts w:ascii="Calibri" w:eastAsia="Times New Roman" w:hAnsi="Calibri" w:cs="Calibri"/>
          <w:b/>
          <w:spacing w:val="-5"/>
          <w:lang w:val="en-GB"/>
        </w:rPr>
        <w:t xml:space="preserve"> </w:t>
      </w:r>
      <w:proofErr w:type="spellStart"/>
      <w:r w:rsidRPr="00D72843">
        <w:rPr>
          <w:rFonts w:ascii="Calibri" w:eastAsia="Times New Roman" w:hAnsi="Calibri" w:cs="Calibri"/>
          <w:b/>
          <w:spacing w:val="-5"/>
          <w:lang w:val="en-GB"/>
        </w:rPr>
        <w:t>morales</w:t>
      </w:r>
      <w:proofErr w:type="spellEnd"/>
      <w:r w:rsidRPr="00D72843">
        <w:rPr>
          <w:rFonts w:ascii="Calibri" w:eastAsia="Times New Roman" w:hAnsi="Calibri" w:cs="Calibri"/>
          <w:b/>
          <w:spacing w:val="-5"/>
          <w:lang w:val="en-GB"/>
        </w:rPr>
        <w:t xml:space="preserve"> </w:t>
      </w:r>
    </w:p>
    <w:p w14:paraId="736F4D59" w14:textId="77777777" w:rsidR="00D72843" w:rsidRPr="00D72843" w:rsidRDefault="00D72843" w:rsidP="00E950CB">
      <w:pPr>
        <w:numPr>
          <w:ilvl w:val="1"/>
          <w:numId w:val="14"/>
        </w:numPr>
        <w:tabs>
          <w:tab w:val="left" w:pos="426"/>
        </w:tabs>
        <w:spacing w:after="60" w:line="240" w:lineRule="auto"/>
        <w:ind w:left="425" w:hanging="425"/>
        <w:jc w:val="both"/>
        <w:rPr>
          <w:rFonts w:ascii="Calibri" w:eastAsia="Times New Roman" w:hAnsi="Calibri" w:cs="Calibri"/>
          <w:b/>
          <w:spacing w:val="-5"/>
          <w:lang w:val="fr-FR"/>
        </w:rPr>
      </w:pPr>
      <w:r w:rsidRPr="00D72843">
        <w:rPr>
          <w:rFonts w:ascii="Calibri" w:eastAsia="Times New Roman" w:hAnsi="Calibri" w:cs="Calibri"/>
          <w:spacing w:val="-5"/>
          <w:lang w:val="fr-FR"/>
        </w:rPr>
        <w:t xml:space="preserve">Le fournisseur doit observer les normes morales les plus élevées pendant l'exécution de ses engagements dans le cadre de ce contrat, et respecter les normes de travail internationales promues par l'Organisation internationale du travail, y compris dans les domaines du travail d’enfants et du travail forcé. </w:t>
      </w:r>
    </w:p>
    <w:p w14:paraId="0FF756CE" w14:textId="77777777" w:rsidR="00D72843" w:rsidRPr="00D72843" w:rsidRDefault="00D72843" w:rsidP="00E950CB">
      <w:pPr>
        <w:numPr>
          <w:ilvl w:val="1"/>
          <w:numId w:val="14"/>
        </w:numPr>
        <w:tabs>
          <w:tab w:val="left" w:pos="426"/>
        </w:tabs>
        <w:spacing w:after="60" w:line="240" w:lineRule="auto"/>
        <w:ind w:left="425" w:hanging="425"/>
        <w:jc w:val="both"/>
        <w:rPr>
          <w:rFonts w:ascii="Calibri" w:eastAsia="Times New Roman" w:hAnsi="Calibri" w:cs="Calibri"/>
          <w:b/>
          <w:spacing w:val="-5"/>
          <w:lang w:val="fr-FR"/>
        </w:rPr>
      </w:pPr>
      <w:r w:rsidRPr="00D72843">
        <w:rPr>
          <w:rFonts w:ascii="Calibri" w:eastAsia="Times New Roman" w:hAnsi="Calibri" w:cs="Calibri"/>
          <w:spacing w:val="-5"/>
          <w:lang w:val="fr-FR"/>
        </w:rPr>
        <w:t xml:space="preserve">Le fournisseur, ses fournisseurs et sous-traitants doivent se conformer à toutes les modalités statutaires et règlementaires environnementales, de santé publique, de sureté et de sécurité du produit et ne doivent en aucune façon être impliqués dans (a) la fabrication ou la vente des armes ou avoir des relations d'affaires avec les groupes armées ou gouvernementaux pour tout but lié à la guerre ; ou (b) des activités terroristes et doit vérifier son personnel, ses fournisseurs et sous-traitants en connaissance des listes de sanctions suivantes : la liste de la trésorerie Britannique, la liste de la CE, la liste d'OFAC et la liste de la trésorerie Américaine et se conformer à toutes les conditions de règlementation ci-afférentes. </w:t>
      </w:r>
    </w:p>
    <w:p w14:paraId="1EC9DFE6" w14:textId="77777777" w:rsidR="00D72843" w:rsidRPr="00D72843" w:rsidRDefault="00D72843" w:rsidP="00E950CB">
      <w:pPr>
        <w:numPr>
          <w:ilvl w:val="1"/>
          <w:numId w:val="14"/>
        </w:numPr>
        <w:tabs>
          <w:tab w:val="left" w:pos="426"/>
        </w:tabs>
        <w:spacing w:after="60" w:line="240" w:lineRule="auto"/>
        <w:ind w:left="425" w:hanging="425"/>
        <w:jc w:val="both"/>
        <w:rPr>
          <w:rFonts w:ascii="Calibri" w:eastAsia="Times New Roman" w:hAnsi="Calibri" w:cs="Calibri"/>
          <w:b/>
          <w:spacing w:val="-5"/>
          <w:lang w:val="fr-FR"/>
        </w:rPr>
      </w:pPr>
      <w:r w:rsidRPr="00D72843">
        <w:rPr>
          <w:rFonts w:ascii="Calibri" w:eastAsia="Times New Roman" w:hAnsi="Calibri" w:cs="Calibri"/>
          <w:spacing w:val="-5"/>
          <w:lang w:val="fr-FR"/>
        </w:rPr>
        <w:t xml:space="preserve">Le fournisseur doit se conformer aux politiques du client, qui sont disponibles sur demande, en particulier aux politiques de Protection de l’enfance et de Lutte contre la corruption. </w:t>
      </w:r>
      <w:r w:rsidRPr="00D72843">
        <w:rPr>
          <w:rFonts w:ascii="Calibri" w:eastAsia="Times New Roman" w:hAnsi="Calibri" w:cs="Calibri"/>
          <w:b/>
          <w:i/>
          <w:spacing w:val="-5"/>
          <w:lang w:val="fr-FR"/>
        </w:rPr>
        <w:t>[</w:t>
      </w:r>
      <w:proofErr w:type="gramStart"/>
      <w:r w:rsidRPr="00D72843">
        <w:rPr>
          <w:rFonts w:ascii="Calibri" w:eastAsia="Times New Roman" w:hAnsi="Calibri" w:cs="Calibri"/>
          <w:b/>
          <w:i/>
          <w:spacing w:val="-5"/>
          <w:lang w:val="fr-FR"/>
        </w:rPr>
        <w:t>note</w:t>
      </w:r>
      <w:proofErr w:type="gramEnd"/>
      <w:r w:rsidRPr="00D72843">
        <w:rPr>
          <w:rFonts w:ascii="Calibri" w:eastAsia="Times New Roman" w:hAnsi="Calibri" w:cs="Calibri"/>
          <w:b/>
          <w:i/>
          <w:spacing w:val="-5"/>
          <w:lang w:val="fr-FR"/>
        </w:rPr>
        <w:t> : demander si celles-ci doivent être définies]</w:t>
      </w:r>
      <w:r w:rsidRPr="00D72843">
        <w:rPr>
          <w:rFonts w:ascii="Calibri" w:eastAsia="Times New Roman" w:hAnsi="Calibri" w:cs="Calibri"/>
          <w:spacing w:val="-5"/>
          <w:lang w:val="fr-FR"/>
        </w:rPr>
        <w:t xml:space="preserve"> </w:t>
      </w:r>
    </w:p>
    <w:p w14:paraId="419F43D6" w14:textId="77777777" w:rsidR="00D72843" w:rsidRPr="00D72843" w:rsidRDefault="00D72843" w:rsidP="00D72843">
      <w:pPr>
        <w:spacing w:after="60" w:line="240" w:lineRule="auto"/>
        <w:ind w:left="1080"/>
        <w:rPr>
          <w:rFonts w:ascii="Calibri" w:eastAsia="Times New Roman" w:hAnsi="Calibri" w:cs="Calibri"/>
          <w:b/>
          <w:spacing w:val="-5"/>
          <w:lang w:val="fr-FR"/>
        </w:rPr>
      </w:pPr>
    </w:p>
    <w:p w14:paraId="15FA34F2" w14:textId="77777777" w:rsidR="00D72843" w:rsidRPr="00D72843" w:rsidRDefault="00D72843" w:rsidP="00E950CB">
      <w:pPr>
        <w:numPr>
          <w:ilvl w:val="0"/>
          <w:numId w:val="14"/>
        </w:numPr>
        <w:spacing w:after="60" w:line="240" w:lineRule="auto"/>
        <w:ind w:left="431" w:hanging="431"/>
        <w:jc w:val="both"/>
        <w:rPr>
          <w:rFonts w:ascii="Calibri" w:eastAsia="Times New Roman" w:hAnsi="Calibri" w:cs="Calibri"/>
          <w:b/>
          <w:spacing w:val="-5"/>
          <w:lang w:val="en-GB"/>
        </w:rPr>
      </w:pPr>
      <w:r w:rsidRPr="00D72843">
        <w:rPr>
          <w:rFonts w:ascii="Calibri" w:eastAsia="Times New Roman" w:hAnsi="Calibri" w:cs="Calibri"/>
          <w:b/>
          <w:spacing w:val="-5"/>
          <w:lang w:val="en-GB"/>
        </w:rPr>
        <w:t>Livraison/Execution</w:t>
      </w:r>
    </w:p>
    <w:p w14:paraId="3ACDF757" w14:textId="77777777" w:rsidR="00D72843" w:rsidRPr="00D72843" w:rsidRDefault="00D72843" w:rsidP="00E950CB">
      <w:pPr>
        <w:numPr>
          <w:ilvl w:val="1"/>
          <w:numId w:val="14"/>
        </w:numPr>
        <w:tabs>
          <w:tab w:val="left" w:pos="426"/>
        </w:tabs>
        <w:spacing w:after="60" w:line="240" w:lineRule="auto"/>
        <w:ind w:left="425" w:hanging="425"/>
        <w:jc w:val="both"/>
        <w:rPr>
          <w:rFonts w:ascii="Calibri" w:eastAsia="Times New Roman" w:hAnsi="Calibri" w:cs="Calibri"/>
          <w:b/>
          <w:spacing w:val="-5"/>
          <w:lang w:val="fr-FR"/>
        </w:rPr>
      </w:pPr>
      <w:r w:rsidRPr="00D72843">
        <w:rPr>
          <w:rFonts w:ascii="Calibri" w:eastAsia="Times New Roman" w:hAnsi="Calibri" w:cs="Calibri"/>
          <w:spacing w:val="-5"/>
          <w:lang w:val="fr-FR"/>
        </w:rPr>
        <w:t xml:space="preserve">Les marchandises doivent être livrées à, et les services doivent être assurés à l'adresse et la date ou au cours de la période indiquée dans la commande, et dans l'un ou l'autre cas pendant les heures de travail </w:t>
      </w:r>
      <w:r w:rsidRPr="00D72843">
        <w:rPr>
          <w:rFonts w:ascii="Calibri" w:eastAsia="Times New Roman" w:hAnsi="Calibri" w:cs="Calibri"/>
          <w:spacing w:val="-5"/>
          <w:lang w:val="fr-FR"/>
        </w:rPr>
        <w:lastRenderedPageBreak/>
        <w:t xml:space="preserve">habituelles du client, à moins que cela soit convenu autrement dans la commande. Le respect des délais convenus est essentiel en ce qui concerne cette condition 4.1. </w:t>
      </w:r>
    </w:p>
    <w:p w14:paraId="0A968CC4" w14:textId="77777777" w:rsidR="00D72843" w:rsidRPr="00D72843" w:rsidRDefault="00D72843" w:rsidP="00E950CB">
      <w:pPr>
        <w:numPr>
          <w:ilvl w:val="1"/>
          <w:numId w:val="14"/>
        </w:numPr>
        <w:tabs>
          <w:tab w:val="left" w:pos="426"/>
        </w:tabs>
        <w:spacing w:after="60" w:line="240" w:lineRule="auto"/>
        <w:ind w:left="425" w:hanging="425"/>
        <w:jc w:val="both"/>
        <w:rPr>
          <w:rFonts w:ascii="Calibri" w:eastAsia="Times New Roman" w:hAnsi="Calibri" w:cs="Calibri"/>
          <w:b/>
          <w:spacing w:val="-5"/>
          <w:lang w:val="fr-FR"/>
        </w:rPr>
      </w:pPr>
      <w:r w:rsidRPr="00D72843">
        <w:rPr>
          <w:rFonts w:ascii="Calibri" w:eastAsia="Times New Roman" w:hAnsi="Calibri" w:cs="Calibri"/>
          <w:spacing w:val="-5"/>
          <w:lang w:val="fr-FR"/>
        </w:rPr>
        <w:t xml:space="preserve">Quand la date de livraison des biens ou de l'exécution des services doit être indiquée après l'émission du bon de commande, le fournisseur donnera au client la notification écrite raisonnable de la date de livraison. </w:t>
      </w:r>
    </w:p>
    <w:p w14:paraId="4CA2EB9B" w14:textId="77777777" w:rsidR="00D72843" w:rsidRPr="00D72843" w:rsidRDefault="00D72843" w:rsidP="00E950CB">
      <w:pPr>
        <w:numPr>
          <w:ilvl w:val="1"/>
          <w:numId w:val="14"/>
        </w:numPr>
        <w:tabs>
          <w:tab w:val="left" w:pos="426"/>
        </w:tabs>
        <w:spacing w:after="60" w:line="240" w:lineRule="auto"/>
        <w:ind w:left="425" w:hanging="425"/>
        <w:jc w:val="both"/>
        <w:rPr>
          <w:rFonts w:ascii="Calibri" w:eastAsia="Times New Roman" w:hAnsi="Calibri" w:cs="Calibri"/>
          <w:b/>
          <w:spacing w:val="-5"/>
          <w:lang w:val="fr-FR"/>
        </w:rPr>
      </w:pPr>
      <w:r w:rsidRPr="00D72843">
        <w:rPr>
          <w:rFonts w:ascii="Calibri" w:eastAsia="Times New Roman" w:hAnsi="Calibri" w:cs="Calibri"/>
          <w:spacing w:val="-5"/>
          <w:lang w:val="fr-FR"/>
        </w:rPr>
        <w:t xml:space="preserve">La livraison des biens doit avoir lieu et le titre des biens passera </w:t>
      </w:r>
      <w:proofErr w:type="gramStart"/>
      <w:r w:rsidRPr="00D72843">
        <w:rPr>
          <w:rFonts w:ascii="Calibri" w:eastAsia="Times New Roman" w:hAnsi="Calibri" w:cs="Calibri"/>
          <w:spacing w:val="-5"/>
          <w:lang w:val="fr-FR"/>
        </w:rPr>
        <w:t>suite à</w:t>
      </w:r>
      <w:proofErr w:type="gramEnd"/>
      <w:r w:rsidRPr="00D72843">
        <w:rPr>
          <w:rFonts w:ascii="Calibri" w:eastAsia="Times New Roman" w:hAnsi="Calibri" w:cs="Calibri"/>
          <w:spacing w:val="-5"/>
          <w:lang w:val="fr-FR"/>
        </w:rPr>
        <w:t xml:space="preserve"> l'accomplissement du transfert physique des biens du fournisseur ou de ses agents au client ou à ses agents à l'adresse indiquée dans la commande.</w:t>
      </w:r>
    </w:p>
    <w:p w14:paraId="21358030" w14:textId="77777777" w:rsidR="00D72843" w:rsidRPr="00D72843" w:rsidRDefault="00D72843" w:rsidP="00E950CB">
      <w:pPr>
        <w:numPr>
          <w:ilvl w:val="1"/>
          <w:numId w:val="14"/>
        </w:numPr>
        <w:tabs>
          <w:tab w:val="left" w:pos="426"/>
        </w:tabs>
        <w:spacing w:after="60" w:line="240" w:lineRule="auto"/>
        <w:ind w:left="425" w:hanging="425"/>
        <w:jc w:val="both"/>
        <w:rPr>
          <w:rFonts w:ascii="Calibri" w:eastAsia="Times New Roman" w:hAnsi="Calibri" w:cs="Calibri"/>
          <w:b/>
          <w:spacing w:val="-5"/>
          <w:lang w:val="fr-FR"/>
        </w:rPr>
      </w:pPr>
      <w:r w:rsidRPr="00D72843">
        <w:rPr>
          <w:rFonts w:ascii="Calibri" w:eastAsia="Times New Roman" w:hAnsi="Calibri" w:cs="Calibri"/>
          <w:spacing w:val="-5"/>
          <w:lang w:val="fr-FR"/>
        </w:rPr>
        <w:t xml:space="preserve">Le risque de dommages ou de perte des biens doit être transmis au client selon les dispositions appropriées des règles d'Incoterms en vigueur à la date où le contrat est établi ou, lorsque les Incoterms ne s'appliquent pas, le risque des biens doit passer au client </w:t>
      </w:r>
      <w:proofErr w:type="gramStart"/>
      <w:r w:rsidRPr="00D72843">
        <w:rPr>
          <w:rFonts w:ascii="Calibri" w:eastAsia="Times New Roman" w:hAnsi="Calibri" w:cs="Calibri"/>
          <w:spacing w:val="-5"/>
          <w:lang w:val="fr-FR"/>
        </w:rPr>
        <w:t>suite à</w:t>
      </w:r>
      <w:proofErr w:type="gramEnd"/>
      <w:r w:rsidRPr="00D72843">
        <w:rPr>
          <w:rFonts w:ascii="Calibri" w:eastAsia="Times New Roman" w:hAnsi="Calibri" w:cs="Calibri"/>
          <w:spacing w:val="-5"/>
          <w:lang w:val="fr-FR"/>
        </w:rPr>
        <w:t xml:space="preserve"> l'accomplissement de la livraison. </w:t>
      </w:r>
    </w:p>
    <w:p w14:paraId="1C8373FA" w14:textId="77777777" w:rsidR="00D72843" w:rsidRPr="00D72843" w:rsidRDefault="00D72843" w:rsidP="00E950CB">
      <w:pPr>
        <w:numPr>
          <w:ilvl w:val="1"/>
          <w:numId w:val="14"/>
        </w:numPr>
        <w:tabs>
          <w:tab w:val="left" w:pos="426"/>
        </w:tabs>
        <w:spacing w:after="60" w:line="240" w:lineRule="auto"/>
        <w:ind w:left="425" w:hanging="425"/>
        <w:jc w:val="both"/>
        <w:rPr>
          <w:rFonts w:ascii="Calibri" w:eastAsia="Times New Roman" w:hAnsi="Calibri" w:cs="Calibri"/>
          <w:b/>
          <w:spacing w:val="-5"/>
          <w:lang w:val="fr-FR"/>
        </w:rPr>
      </w:pPr>
      <w:r w:rsidRPr="00D72843">
        <w:rPr>
          <w:rFonts w:ascii="Calibri" w:eastAsia="Times New Roman" w:hAnsi="Calibri" w:cs="Calibri"/>
          <w:spacing w:val="-5"/>
          <w:lang w:val="fr-FR"/>
        </w:rPr>
        <w:t>Le client ne doit pas être considéré comme ayant accepté les biens ou services et se réserve le droit de rejeter lesdits biens et services jusqu'à ce que le client ait le temps raisonnable de les inspecter après la livraison et/ou l’exécution par le fournisseur.</w:t>
      </w:r>
    </w:p>
    <w:p w14:paraId="7A04FCAF" w14:textId="77777777" w:rsidR="00D72843" w:rsidRPr="00D72843" w:rsidRDefault="00D72843" w:rsidP="00E950CB">
      <w:pPr>
        <w:numPr>
          <w:ilvl w:val="1"/>
          <w:numId w:val="14"/>
        </w:numPr>
        <w:tabs>
          <w:tab w:val="left" w:pos="426"/>
        </w:tabs>
        <w:spacing w:after="60" w:line="240" w:lineRule="auto"/>
        <w:ind w:left="425" w:hanging="425"/>
        <w:jc w:val="both"/>
        <w:rPr>
          <w:rFonts w:ascii="Calibri" w:eastAsia="Times New Roman" w:hAnsi="Calibri" w:cs="Calibri"/>
          <w:b/>
          <w:spacing w:val="-5"/>
          <w:lang w:val="fr-FR"/>
        </w:rPr>
      </w:pPr>
      <w:r w:rsidRPr="00D72843">
        <w:rPr>
          <w:rFonts w:ascii="Calibri" w:eastAsia="Times New Roman" w:hAnsi="Calibri" w:cs="Calibri"/>
          <w:spacing w:val="-5"/>
          <w:lang w:val="fr-FR"/>
        </w:rPr>
        <w:t xml:space="preserve">Le client doit être autorisé à rejeter tous les biens livrés ou tous services fournis qui ne seraient pas conformes au contrat. Si les biens ou services sont ainsi rejetés à l'option du client, le fournisseur doit procéder au réapprovisionnement immédiat avec des biens de rechange ou des services qui soient conformes au contrat. Alternativement, le client peut rompre le contrat et renvoyer tous les biens rejetés au fournisseur aux risques et dépenses du fournisseur et le fournisseur doit rembourser au client tout montant </w:t>
      </w:r>
      <w:proofErr w:type="gramStart"/>
      <w:r w:rsidRPr="00D72843">
        <w:rPr>
          <w:rFonts w:ascii="Calibri" w:eastAsia="Times New Roman" w:hAnsi="Calibri" w:cs="Calibri"/>
          <w:spacing w:val="-5"/>
          <w:lang w:val="fr-FR"/>
        </w:rPr>
        <w:t>payé</w:t>
      </w:r>
      <w:proofErr w:type="gramEnd"/>
      <w:r w:rsidRPr="00D72843">
        <w:rPr>
          <w:rFonts w:ascii="Calibri" w:eastAsia="Times New Roman" w:hAnsi="Calibri" w:cs="Calibri"/>
          <w:spacing w:val="-5"/>
          <w:lang w:val="fr-FR"/>
        </w:rPr>
        <w:t xml:space="preserve"> pour de tels biens ou services.  </w:t>
      </w:r>
    </w:p>
    <w:p w14:paraId="2C5EAEA0" w14:textId="77777777" w:rsidR="00D72843" w:rsidRPr="00D72843" w:rsidRDefault="00D72843" w:rsidP="00D72843">
      <w:pPr>
        <w:spacing w:after="0" w:line="240" w:lineRule="auto"/>
        <w:ind w:left="426"/>
        <w:rPr>
          <w:rFonts w:ascii="Calibri" w:eastAsia="Times New Roman" w:hAnsi="Calibri" w:cs="Calibri"/>
          <w:b/>
          <w:spacing w:val="-5"/>
          <w:lang w:val="fr-FR"/>
        </w:rPr>
      </w:pPr>
    </w:p>
    <w:p w14:paraId="475DFD14" w14:textId="77777777" w:rsidR="00D72843" w:rsidRPr="00D72843" w:rsidRDefault="00D72843" w:rsidP="00E950CB">
      <w:pPr>
        <w:numPr>
          <w:ilvl w:val="0"/>
          <w:numId w:val="14"/>
        </w:numPr>
        <w:spacing w:after="60" w:line="240" w:lineRule="auto"/>
        <w:ind w:left="431" w:hanging="431"/>
        <w:jc w:val="both"/>
        <w:rPr>
          <w:rFonts w:ascii="Calibri" w:eastAsia="Times New Roman" w:hAnsi="Calibri" w:cs="Calibri"/>
          <w:b/>
          <w:spacing w:val="-5"/>
          <w:lang w:val="en-GB"/>
        </w:rPr>
      </w:pPr>
      <w:proofErr w:type="spellStart"/>
      <w:r w:rsidRPr="00D72843">
        <w:rPr>
          <w:rFonts w:ascii="Calibri" w:eastAsia="Times New Roman" w:hAnsi="Calibri" w:cs="Calibri"/>
          <w:b/>
          <w:spacing w:val="-5"/>
          <w:lang w:val="en-GB"/>
        </w:rPr>
        <w:t>Indemnité</w:t>
      </w:r>
      <w:proofErr w:type="spellEnd"/>
      <w:r w:rsidRPr="00D72843">
        <w:rPr>
          <w:rFonts w:ascii="Calibri" w:eastAsia="Times New Roman" w:hAnsi="Calibri" w:cs="Calibri"/>
          <w:b/>
          <w:spacing w:val="-5"/>
          <w:lang w:val="en-GB"/>
        </w:rPr>
        <w:t xml:space="preserve"> </w:t>
      </w:r>
    </w:p>
    <w:p w14:paraId="7BC2B0A5" w14:textId="77777777" w:rsidR="00D72843" w:rsidRPr="00D72843" w:rsidRDefault="00D72843" w:rsidP="00D72843">
      <w:pPr>
        <w:autoSpaceDE w:val="0"/>
        <w:autoSpaceDN w:val="0"/>
        <w:spacing w:after="0" w:line="240" w:lineRule="auto"/>
        <w:ind w:left="432"/>
        <w:rPr>
          <w:rFonts w:ascii="Calibri" w:eastAsia="Times New Roman" w:hAnsi="Calibri" w:cs="Calibri"/>
          <w:spacing w:val="-5"/>
          <w:lang w:val="fr-FR"/>
        </w:rPr>
      </w:pPr>
      <w:r w:rsidRPr="00D72843">
        <w:rPr>
          <w:rFonts w:ascii="Calibri" w:eastAsia="Times New Roman" w:hAnsi="Calibri" w:cs="Calibri"/>
          <w:spacing w:val="-5"/>
          <w:lang w:val="fr-FR"/>
        </w:rPr>
        <w:t>Le fournisseur doit entièrement garantir le client contre toute obligation, perte, tous dommages, coûts et toutes dépenses (y compris les dépenses légales) encourus ou payés par le client en raison ou en liaison avec tout acte ou toute omission du fournisseur ou de ses employés, agents ou sous-traitants dans l’exécution de ses obligations en rapport avec ce contrat, et toutes réclamations faites contre le client par les tiers (y compris les réclamations pour la mort, la préjudice personnelle ou les dommages à la propriété) survenues en dehors, ou liées à la livraison des biens ou des  services ou à l’infraction de la clause 2.</w:t>
      </w:r>
    </w:p>
    <w:p w14:paraId="76FF959C" w14:textId="77777777" w:rsidR="00D72843" w:rsidRPr="00D72843" w:rsidRDefault="00D72843" w:rsidP="00D72843">
      <w:pPr>
        <w:autoSpaceDE w:val="0"/>
        <w:autoSpaceDN w:val="0"/>
        <w:spacing w:after="0" w:line="240" w:lineRule="auto"/>
        <w:ind w:left="1080"/>
        <w:rPr>
          <w:rFonts w:ascii="Calibri" w:eastAsia="Times New Roman" w:hAnsi="Calibri" w:cs="Calibri"/>
          <w:color w:val="00B050"/>
          <w:spacing w:val="-5"/>
          <w:lang w:val="fr-FR"/>
        </w:rPr>
      </w:pPr>
    </w:p>
    <w:p w14:paraId="461B82A0" w14:textId="77777777" w:rsidR="00D72843" w:rsidRPr="00D72843" w:rsidRDefault="00D72843" w:rsidP="00E950CB">
      <w:pPr>
        <w:numPr>
          <w:ilvl w:val="0"/>
          <w:numId w:val="14"/>
        </w:numPr>
        <w:spacing w:after="60" w:line="240" w:lineRule="auto"/>
        <w:ind w:left="431" w:hanging="431"/>
        <w:jc w:val="both"/>
        <w:rPr>
          <w:rFonts w:ascii="Calibri" w:eastAsia="Times New Roman" w:hAnsi="Calibri" w:cs="Calibri"/>
          <w:b/>
          <w:spacing w:val="-5"/>
          <w:lang w:val="en-GB"/>
        </w:rPr>
      </w:pPr>
      <w:r w:rsidRPr="00D72843">
        <w:rPr>
          <w:rFonts w:ascii="Calibri" w:eastAsia="Times New Roman" w:hAnsi="Calibri" w:cs="Calibri"/>
          <w:b/>
          <w:spacing w:val="-5"/>
          <w:lang w:val="en-GB"/>
        </w:rPr>
        <w:t xml:space="preserve">Prix et </w:t>
      </w:r>
      <w:proofErr w:type="spellStart"/>
      <w:r w:rsidRPr="00D72843">
        <w:rPr>
          <w:rFonts w:ascii="Calibri" w:eastAsia="Times New Roman" w:hAnsi="Calibri" w:cs="Calibri"/>
          <w:b/>
          <w:spacing w:val="-5"/>
          <w:lang w:val="en-GB"/>
        </w:rPr>
        <w:t>paiement</w:t>
      </w:r>
      <w:proofErr w:type="spellEnd"/>
      <w:r w:rsidRPr="00D72843">
        <w:rPr>
          <w:rFonts w:ascii="Calibri" w:eastAsia="Times New Roman" w:hAnsi="Calibri" w:cs="Calibri"/>
          <w:b/>
          <w:spacing w:val="-5"/>
          <w:lang w:val="en-GB"/>
        </w:rPr>
        <w:t xml:space="preserve"> </w:t>
      </w:r>
    </w:p>
    <w:p w14:paraId="286EFED5" w14:textId="77777777" w:rsidR="00D72843" w:rsidRPr="00D72843" w:rsidRDefault="00D72843" w:rsidP="00D72843">
      <w:pPr>
        <w:autoSpaceDE w:val="0"/>
        <w:autoSpaceDN w:val="0"/>
        <w:spacing w:after="0" w:line="240" w:lineRule="auto"/>
        <w:ind w:left="426"/>
        <w:rPr>
          <w:rFonts w:ascii="Calibri" w:eastAsia="Times New Roman" w:hAnsi="Calibri" w:cs="Calibri"/>
          <w:b/>
          <w:spacing w:val="-5"/>
          <w:lang w:val="fr-FR"/>
        </w:rPr>
      </w:pPr>
      <w:r w:rsidRPr="00D72843">
        <w:rPr>
          <w:rFonts w:ascii="Calibri" w:eastAsia="Times New Roman" w:hAnsi="Calibri" w:cs="Calibri"/>
          <w:spacing w:val="-5"/>
          <w:lang w:val="fr-FR"/>
        </w:rPr>
        <w:t xml:space="preserve">Le paiement des arriérés sera effectué comme défini dans le bon de commande et le client doit avoir le droit de discuter les prix indiqués sur le bon de commande rempli par le fournisseur. </w:t>
      </w:r>
    </w:p>
    <w:p w14:paraId="4532E887" w14:textId="77777777" w:rsidR="00D72843" w:rsidRPr="00D72843" w:rsidRDefault="00D72843" w:rsidP="00D72843">
      <w:pPr>
        <w:autoSpaceDE w:val="0"/>
        <w:autoSpaceDN w:val="0"/>
        <w:spacing w:after="0" w:line="240" w:lineRule="auto"/>
        <w:ind w:left="426"/>
        <w:rPr>
          <w:rFonts w:ascii="Calibri" w:eastAsia="Times New Roman" w:hAnsi="Calibri" w:cs="Calibri"/>
          <w:b/>
          <w:spacing w:val="-5"/>
          <w:lang w:val="fr-FR"/>
        </w:rPr>
      </w:pPr>
    </w:p>
    <w:p w14:paraId="4D0F50E5" w14:textId="77777777" w:rsidR="00D72843" w:rsidRPr="00D72843" w:rsidRDefault="00D72843" w:rsidP="00E950CB">
      <w:pPr>
        <w:numPr>
          <w:ilvl w:val="0"/>
          <w:numId w:val="14"/>
        </w:numPr>
        <w:spacing w:after="60" w:line="240" w:lineRule="auto"/>
        <w:ind w:left="431" w:hanging="431"/>
        <w:jc w:val="both"/>
        <w:rPr>
          <w:rFonts w:ascii="Calibri" w:eastAsia="Times New Roman" w:hAnsi="Calibri" w:cs="Calibri"/>
          <w:b/>
          <w:spacing w:val="-5"/>
          <w:lang w:val="en-GB"/>
        </w:rPr>
      </w:pPr>
      <w:r w:rsidRPr="00D72843">
        <w:rPr>
          <w:rFonts w:ascii="Calibri" w:eastAsia="Times New Roman" w:hAnsi="Calibri" w:cs="Calibri"/>
          <w:spacing w:val="-5"/>
          <w:lang w:val="fr-FR"/>
        </w:rPr>
        <w:t xml:space="preserve"> </w:t>
      </w:r>
      <w:proofErr w:type="spellStart"/>
      <w:r w:rsidRPr="00D72843">
        <w:rPr>
          <w:rFonts w:ascii="Calibri" w:eastAsia="Times New Roman" w:hAnsi="Calibri" w:cs="Calibri"/>
          <w:b/>
          <w:spacing w:val="-5"/>
          <w:lang w:val="en-GB"/>
        </w:rPr>
        <w:t>Résiliation</w:t>
      </w:r>
      <w:proofErr w:type="spellEnd"/>
    </w:p>
    <w:p w14:paraId="5F9F3077" w14:textId="34FFA803"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Le client peut résilier le contrat sans obligation totale ou partielle vis-à-vis du fournisseur à tout moment pour une quelconque raison en donnant au fournisseur un préavis écrit d’au moins quinze jours</w:t>
      </w:r>
      <w:r w:rsidR="00D11D1B">
        <w:rPr>
          <w:rFonts w:ascii="Calibri" w:eastAsia="Times New Roman" w:hAnsi="Calibri" w:cs="Calibri"/>
          <w:spacing w:val="-5"/>
          <w:lang w:val="fr-FR"/>
        </w:rPr>
        <w:t>.</w:t>
      </w:r>
    </w:p>
    <w:p w14:paraId="791325CF"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 client peut résilier le contrat avec effet immédiat en donnant un préavis écrit au fournisseur et le fournisseur doit payer au client toutes les pertes (y compris tous les coûts associés, les dettes et les dépenses, ainsi que les coûts légaux) encourues par le client </w:t>
      </w:r>
      <w:proofErr w:type="gramStart"/>
      <w:r w:rsidRPr="00D72843">
        <w:rPr>
          <w:rFonts w:ascii="Calibri" w:eastAsia="Times New Roman" w:hAnsi="Calibri" w:cs="Calibri"/>
          <w:spacing w:val="-5"/>
          <w:lang w:val="fr-FR"/>
        </w:rPr>
        <w:t>suite à</w:t>
      </w:r>
      <w:proofErr w:type="gramEnd"/>
      <w:r w:rsidRPr="00D72843">
        <w:rPr>
          <w:rFonts w:ascii="Calibri" w:eastAsia="Times New Roman" w:hAnsi="Calibri" w:cs="Calibri"/>
          <w:spacing w:val="-5"/>
          <w:lang w:val="fr-FR"/>
        </w:rPr>
        <w:t xml:space="preserve"> cette résiliation et/ou infraction du fournisseur à tout moment si le fournisseur : </w:t>
      </w:r>
    </w:p>
    <w:p w14:paraId="6E9E7B92" w14:textId="77777777" w:rsidR="00D72843" w:rsidRPr="00D72843" w:rsidRDefault="00D72843" w:rsidP="00E950CB">
      <w:pPr>
        <w:numPr>
          <w:ilvl w:val="0"/>
          <w:numId w:val="16"/>
        </w:numPr>
        <w:autoSpaceDE w:val="0"/>
        <w:autoSpaceDN w:val="0"/>
        <w:spacing w:after="0" w:line="240" w:lineRule="auto"/>
        <w:ind w:left="851"/>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devient</w:t>
      </w:r>
      <w:proofErr w:type="gramEnd"/>
      <w:r w:rsidRPr="00D72843">
        <w:rPr>
          <w:rFonts w:ascii="Calibri" w:eastAsia="Times New Roman" w:hAnsi="Calibri" w:cs="Calibri"/>
          <w:spacing w:val="-5"/>
          <w:lang w:val="fr-FR"/>
        </w:rPr>
        <w:t xml:space="preserve"> insolvable, entre en liquidation, s’accorde volontairement avec ses créanciers, ou fait l’objet d’un bon d'administration ou à tout autre processus de faillite semblable; </w:t>
      </w:r>
    </w:p>
    <w:p w14:paraId="50F7762A" w14:textId="77777777" w:rsidR="00D72843" w:rsidRPr="00D72843" w:rsidRDefault="00D72843" w:rsidP="00E950CB">
      <w:pPr>
        <w:numPr>
          <w:ilvl w:val="0"/>
          <w:numId w:val="16"/>
        </w:numPr>
        <w:autoSpaceDE w:val="0"/>
        <w:autoSpaceDN w:val="0"/>
        <w:spacing w:after="0" w:line="240" w:lineRule="auto"/>
        <w:ind w:left="850" w:hanging="357"/>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est</w:t>
      </w:r>
      <w:proofErr w:type="gramEnd"/>
      <w:r w:rsidRPr="00D72843">
        <w:rPr>
          <w:rFonts w:ascii="Calibri" w:eastAsia="Times New Roman" w:hAnsi="Calibri" w:cs="Calibri"/>
          <w:spacing w:val="-5"/>
          <w:lang w:val="fr-FR"/>
        </w:rPr>
        <w:t xml:space="preserve"> en infraction matérielle de ses obligations dans le cadre du contrat ; ou </w:t>
      </w:r>
    </w:p>
    <w:p w14:paraId="407D1947" w14:textId="77777777" w:rsidR="00D72843" w:rsidRPr="00D72843" w:rsidRDefault="00D72843" w:rsidP="00E950CB">
      <w:pPr>
        <w:numPr>
          <w:ilvl w:val="0"/>
          <w:numId w:val="16"/>
        </w:numPr>
        <w:autoSpaceDE w:val="0"/>
        <w:autoSpaceDN w:val="0"/>
        <w:spacing w:after="0" w:line="240" w:lineRule="auto"/>
        <w:ind w:left="850" w:hanging="357"/>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est</w:t>
      </w:r>
      <w:proofErr w:type="gramEnd"/>
      <w:r w:rsidRPr="00D72843">
        <w:rPr>
          <w:rFonts w:ascii="Calibri" w:eastAsia="Times New Roman" w:hAnsi="Calibri" w:cs="Calibri"/>
          <w:spacing w:val="-5"/>
          <w:lang w:val="fr-FR"/>
        </w:rPr>
        <w:t xml:space="preserve"> en infraction de n'importe laquelle de ses obligations et n’arrive pas à résoudre une telle infraction dans les 14 jours de préavis de résolution donnés par le client. </w:t>
      </w:r>
    </w:p>
    <w:p w14:paraId="1A3F817A"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lastRenderedPageBreak/>
        <w:t xml:space="preserve">En cas de résiliation, tous les bons de commande en cours doivent être menés à terme.  </w:t>
      </w:r>
    </w:p>
    <w:p w14:paraId="1156E024" w14:textId="77777777" w:rsidR="00D72843" w:rsidRPr="00D72843" w:rsidRDefault="00D72843" w:rsidP="00D72843">
      <w:pPr>
        <w:spacing w:after="60" w:line="240" w:lineRule="auto"/>
        <w:ind w:left="431"/>
        <w:rPr>
          <w:rFonts w:ascii="Calibri" w:eastAsia="Times New Roman" w:hAnsi="Calibri" w:cs="Calibri"/>
          <w:b/>
          <w:spacing w:val="-5"/>
          <w:lang w:val="fr-FR"/>
        </w:rPr>
      </w:pPr>
    </w:p>
    <w:p w14:paraId="4CE18F1B" w14:textId="77777777" w:rsidR="00D72843" w:rsidRPr="00D72843" w:rsidRDefault="00D72843" w:rsidP="00E950CB">
      <w:pPr>
        <w:numPr>
          <w:ilvl w:val="0"/>
          <w:numId w:val="14"/>
        </w:numPr>
        <w:spacing w:after="60" w:line="240" w:lineRule="auto"/>
        <w:ind w:left="431" w:hanging="431"/>
        <w:jc w:val="both"/>
        <w:rPr>
          <w:rFonts w:ascii="Calibri" w:eastAsia="Times New Roman" w:hAnsi="Calibri" w:cs="Calibri"/>
          <w:b/>
          <w:spacing w:val="-5"/>
          <w:lang w:val="en-GB"/>
        </w:rPr>
      </w:pPr>
      <w:r w:rsidRPr="00D72843">
        <w:rPr>
          <w:rFonts w:ascii="Calibri" w:eastAsia="Times New Roman" w:hAnsi="Calibri" w:cs="Calibri"/>
          <w:b/>
          <w:spacing w:val="-5"/>
          <w:lang w:val="fr-FR"/>
        </w:rPr>
        <w:t xml:space="preserve"> </w:t>
      </w:r>
      <w:proofErr w:type="spellStart"/>
      <w:r w:rsidRPr="00D72843">
        <w:rPr>
          <w:rFonts w:ascii="Calibri" w:eastAsia="Times New Roman" w:hAnsi="Calibri" w:cs="Calibri"/>
          <w:b/>
          <w:spacing w:val="-5"/>
          <w:lang w:val="en-GB"/>
        </w:rPr>
        <w:t>Garanties</w:t>
      </w:r>
      <w:proofErr w:type="spellEnd"/>
      <w:r w:rsidRPr="00D72843">
        <w:rPr>
          <w:rFonts w:ascii="Calibri" w:eastAsia="Times New Roman" w:hAnsi="Calibri" w:cs="Calibri"/>
          <w:b/>
          <w:spacing w:val="-5"/>
          <w:lang w:val="en-GB"/>
        </w:rPr>
        <w:t xml:space="preserve"> du </w:t>
      </w:r>
      <w:proofErr w:type="spellStart"/>
      <w:r w:rsidRPr="00D72843">
        <w:rPr>
          <w:rFonts w:ascii="Calibri" w:eastAsia="Times New Roman" w:hAnsi="Calibri" w:cs="Calibri"/>
          <w:b/>
          <w:spacing w:val="-5"/>
          <w:lang w:val="en-GB"/>
        </w:rPr>
        <w:t>Fournisseur</w:t>
      </w:r>
      <w:proofErr w:type="spellEnd"/>
      <w:r w:rsidRPr="00D72843">
        <w:rPr>
          <w:rFonts w:ascii="Calibri" w:eastAsia="Times New Roman" w:hAnsi="Calibri" w:cs="Calibri"/>
          <w:b/>
          <w:spacing w:val="-5"/>
          <w:lang w:val="en-GB"/>
        </w:rPr>
        <w:t xml:space="preserve"> </w:t>
      </w:r>
    </w:p>
    <w:p w14:paraId="043BEA56"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spacing w:val="-5"/>
          <w:lang w:val="fr-FR"/>
        </w:rPr>
        <w:t xml:space="preserve">Le fournisseur garantit au client que : </w:t>
      </w:r>
    </w:p>
    <w:p w14:paraId="09998B76" w14:textId="77777777" w:rsidR="00D72843" w:rsidRPr="00D72843" w:rsidRDefault="00D72843" w:rsidP="00E950CB">
      <w:pPr>
        <w:numPr>
          <w:ilvl w:val="0"/>
          <w:numId w:val="17"/>
        </w:numPr>
        <w:autoSpaceDE w:val="0"/>
        <w:autoSpaceDN w:val="0"/>
        <w:spacing w:after="0" w:line="240" w:lineRule="auto"/>
        <w:ind w:left="851"/>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il</w:t>
      </w:r>
      <w:proofErr w:type="gramEnd"/>
      <w:r w:rsidRPr="00D72843">
        <w:rPr>
          <w:rFonts w:ascii="Calibri" w:eastAsia="Times New Roman" w:hAnsi="Calibri" w:cs="Calibri"/>
          <w:spacing w:val="-5"/>
          <w:lang w:val="fr-FR"/>
        </w:rPr>
        <w:t xml:space="preserve"> a toutes les autorisations internes nécessaires et toutes les autorisations de tous les tiers appropriés lui permettant d'assurer les biens et services sans violation de toute loi applicable, du règlement, du code ou de la pratique ou des droits d’aucune tierce personne ; </w:t>
      </w:r>
    </w:p>
    <w:p w14:paraId="6287D368" w14:textId="77777777" w:rsidR="00D72843" w:rsidRPr="00D72843" w:rsidRDefault="00D72843" w:rsidP="00E950CB">
      <w:pPr>
        <w:numPr>
          <w:ilvl w:val="0"/>
          <w:numId w:val="17"/>
        </w:numPr>
        <w:autoSpaceDE w:val="0"/>
        <w:autoSpaceDN w:val="0"/>
        <w:spacing w:after="0" w:line="240" w:lineRule="auto"/>
        <w:ind w:left="851"/>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il</w:t>
      </w:r>
      <w:proofErr w:type="gramEnd"/>
      <w:r w:rsidRPr="00D72843">
        <w:rPr>
          <w:rFonts w:ascii="Calibri" w:eastAsia="Times New Roman" w:hAnsi="Calibri" w:cs="Calibri"/>
          <w:spacing w:val="-5"/>
          <w:lang w:val="fr-FR"/>
        </w:rPr>
        <w:t xml:space="preserve"> n’acceptera et s’assurera qu'aucun de ses employés n'accepte de commission, cadeau, motivation ou tout autre avantage financier de la part d’aucun fournisseur ou fournisseur potentiel du client ; et </w:t>
      </w:r>
    </w:p>
    <w:p w14:paraId="0FC616B3" w14:textId="77777777" w:rsidR="00D72843" w:rsidRPr="00D72843" w:rsidRDefault="00D72843" w:rsidP="00E950CB">
      <w:pPr>
        <w:numPr>
          <w:ilvl w:val="0"/>
          <w:numId w:val="17"/>
        </w:numPr>
        <w:autoSpaceDE w:val="0"/>
        <w:autoSpaceDN w:val="0"/>
        <w:spacing w:after="0" w:line="240" w:lineRule="auto"/>
        <w:ind w:left="851"/>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les</w:t>
      </w:r>
      <w:proofErr w:type="gramEnd"/>
      <w:r w:rsidRPr="00D72843">
        <w:rPr>
          <w:rFonts w:ascii="Calibri" w:eastAsia="Times New Roman" w:hAnsi="Calibri" w:cs="Calibri"/>
          <w:spacing w:val="-5"/>
          <w:lang w:val="fr-FR"/>
        </w:rPr>
        <w:t xml:space="preserve"> services seront assurés par du personnel formé et qualifié, avec le meilleur soin, la meilleure compétence et diligence et à un niveau de qualité conforme aux attentes du client en toutes circonstances. </w:t>
      </w:r>
    </w:p>
    <w:p w14:paraId="3D61834E" w14:textId="77777777" w:rsidR="00D72843" w:rsidRPr="00D72843" w:rsidRDefault="00D72843" w:rsidP="00D72843">
      <w:pPr>
        <w:spacing w:after="0" w:line="240" w:lineRule="auto"/>
        <w:ind w:left="1080"/>
        <w:rPr>
          <w:rFonts w:ascii="Calibri" w:eastAsia="Times New Roman" w:hAnsi="Calibri" w:cs="Calibri"/>
          <w:spacing w:val="-5"/>
          <w:lang w:val="fr-FR"/>
        </w:rPr>
      </w:pPr>
    </w:p>
    <w:p w14:paraId="60F71C9A" w14:textId="77777777" w:rsidR="00D72843" w:rsidRPr="00D72843" w:rsidRDefault="00D72843" w:rsidP="00E950CB">
      <w:pPr>
        <w:numPr>
          <w:ilvl w:val="0"/>
          <w:numId w:val="14"/>
        </w:numPr>
        <w:autoSpaceDE w:val="0"/>
        <w:autoSpaceDN w:val="0"/>
        <w:spacing w:after="0" w:line="240" w:lineRule="auto"/>
        <w:ind w:left="431" w:hanging="431"/>
        <w:jc w:val="both"/>
        <w:rPr>
          <w:rFonts w:ascii="Calibri" w:eastAsia="Times New Roman" w:hAnsi="Calibri" w:cs="Calibri"/>
          <w:b/>
          <w:spacing w:val="-5"/>
          <w:lang w:val="en-GB"/>
        </w:rPr>
      </w:pPr>
      <w:r w:rsidRPr="00D72843">
        <w:rPr>
          <w:rFonts w:ascii="Calibri" w:eastAsia="Times New Roman" w:hAnsi="Calibri" w:cs="Calibri"/>
          <w:b/>
          <w:spacing w:val="-5"/>
          <w:lang w:val="en-GB"/>
        </w:rPr>
        <w:t xml:space="preserve">Force majeure </w:t>
      </w:r>
    </w:p>
    <w:p w14:paraId="031134EA"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Ni le fournisseur ni le client ne doivent être tenus responsables de tout échec ou retard dans l’exécution de leurs obligations dans le cadre du contrat dans la mesure où un tel échec ou retard est provoqué par un événement qui est au-delà de la compétence raisonnable de cette partie et qui n'était pas raisonnablement prévisible à la date de la commande (un "</w:t>
      </w:r>
      <w:r w:rsidRPr="00D72843">
        <w:rPr>
          <w:rFonts w:ascii="Calibri" w:eastAsia="Times New Roman" w:hAnsi="Calibri" w:cs="Calibri"/>
          <w:b/>
          <w:spacing w:val="-5"/>
          <w:lang w:val="fr-FR"/>
        </w:rPr>
        <w:t xml:space="preserve">événement de force majeure </w:t>
      </w:r>
      <w:r w:rsidRPr="00D72843">
        <w:rPr>
          <w:rFonts w:ascii="Calibri" w:eastAsia="Times New Roman" w:hAnsi="Calibri" w:cs="Calibri"/>
          <w:spacing w:val="-5"/>
          <w:lang w:val="fr-FR"/>
        </w:rPr>
        <w:t xml:space="preserve">") pourvu que le fournisseur déploie ses meilleurs efforts pour résoudre un tel événement de force majeure et reprenne l'exécution du contrat. </w:t>
      </w:r>
    </w:p>
    <w:p w14:paraId="462796E0"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Si un événement de force majeure quelconque empêche le fournisseur d’honorer ses engagements dans le cadre du contrat pendant une période continue de plus de 14 jours, le client peut immédiatement résilier le contrat en donnant un préavis écrit au fournisseur. </w:t>
      </w:r>
    </w:p>
    <w:p w14:paraId="77D3ED1C" w14:textId="77777777" w:rsidR="00D72843" w:rsidRPr="00D72843" w:rsidRDefault="00D72843" w:rsidP="00D72843">
      <w:pPr>
        <w:tabs>
          <w:tab w:val="left" w:pos="426"/>
        </w:tabs>
        <w:spacing w:after="0" w:line="240" w:lineRule="auto"/>
        <w:ind w:left="1080"/>
        <w:rPr>
          <w:rFonts w:ascii="Calibri" w:eastAsia="Times New Roman" w:hAnsi="Calibri" w:cs="Calibri"/>
          <w:spacing w:val="-5"/>
          <w:lang w:val="fr-FR"/>
        </w:rPr>
      </w:pPr>
    </w:p>
    <w:p w14:paraId="183C44EF" w14:textId="77777777" w:rsidR="00D72843" w:rsidRPr="00D72843" w:rsidRDefault="00D72843" w:rsidP="00E950CB">
      <w:pPr>
        <w:numPr>
          <w:ilvl w:val="0"/>
          <w:numId w:val="14"/>
        </w:numPr>
        <w:spacing w:after="60" w:line="240" w:lineRule="auto"/>
        <w:ind w:left="431" w:hanging="431"/>
        <w:jc w:val="both"/>
        <w:rPr>
          <w:rFonts w:ascii="Calibri" w:eastAsia="Times New Roman" w:hAnsi="Calibri" w:cs="Calibri"/>
          <w:b/>
          <w:spacing w:val="-5"/>
          <w:lang w:val="en-GB"/>
        </w:rPr>
      </w:pPr>
      <w:proofErr w:type="spellStart"/>
      <w:r w:rsidRPr="00D72843">
        <w:rPr>
          <w:rFonts w:ascii="Calibri" w:eastAsia="Times New Roman" w:hAnsi="Calibri" w:cs="Calibri"/>
          <w:b/>
          <w:spacing w:val="-5"/>
          <w:lang w:val="en-GB"/>
        </w:rPr>
        <w:t>Généralités</w:t>
      </w:r>
      <w:proofErr w:type="spellEnd"/>
      <w:r w:rsidRPr="00D72843">
        <w:rPr>
          <w:rFonts w:ascii="Calibri" w:eastAsia="Times New Roman" w:hAnsi="Calibri" w:cs="Calibri"/>
          <w:b/>
          <w:spacing w:val="-5"/>
          <w:lang w:val="en-GB"/>
        </w:rPr>
        <w:t xml:space="preserve"> </w:t>
      </w:r>
    </w:p>
    <w:p w14:paraId="5B2D3EBE"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 fournisseur ne doit pas utiliser le nom, la marque ou le logo du client, sans instructions ou autorisations écrites du client. </w:t>
      </w:r>
    </w:p>
    <w:p w14:paraId="71CCE885"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 fournisseur ne peut assigner, transférer, déléguer, sous-traiter, innover ou engager de n’importe quelle autre manière que ce soit n’importe lequel ou tous ses droits ou engagements dans le cadre du contrat sans le consentement écrit du client au préalable. </w:t>
      </w:r>
    </w:p>
    <w:p w14:paraId="5D012CED"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Tout préavis dans le cadre ou lié au contrat doit être donné par écrit à l'adresse indiquée dans la commande ou à une telle autre adresse qui doit parfois être notifiée par écrit. Pour les buts de cette condition, "l’écrit "doit inclure les </w:t>
      </w:r>
      <w:proofErr w:type="gramStart"/>
      <w:r w:rsidRPr="00D72843">
        <w:rPr>
          <w:rFonts w:ascii="Calibri" w:eastAsia="Times New Roman" w:hAnsi="Calibri" w:cs="Calibri"/>
          <w:spacing w:val="-5"/>
          <w:lang w:val="fr-FR"/>
        </w:rPr>
        <w:t>e-mails</w:t>
      </w:r>
      <w:proofErr w:type="gramEnd"/>
      <w:r w:rsidRPr="00D72843">
        <w:rPr>
          <w:rFonts w:ascii="Calibri" w:eastAsia="Times New Roman" w:hAnsi="Calibri" w:cs="Calibri"/>
          <w:spacing w:val="-5"/>
          <w:lang w:val="fr-FR"/>
        </w:rPr>
        <w:t xml:space="preserve"> et les faxes.</w:t>
      </w:r>
    </w:p>
    <w:p w14:paraId="11256E9F"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Si une cour de justice ou une autorité compétente quelconque constate qu’une disposition du contrat (ou une partie de la disposition) est invalide, illégale ou inapplicable, que la disposition ou la partie de la disposition doit, dans la mesure exigée, être considérée comme supprimée, la validité et l'applicabilité des autres dispositions du contrat ne doit pas être affectée. </w:t>
      </w:r>
    </w:p>
    <w:p w14:paraId="64117A2A"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Toute variation au contrat, y compris l'introduction de toutes les modalités supplémentaires, ne doit être effectuée que lorsqu’elle a été convenue par écrit et signée par les deux parties.</w:t>
      </w:r>
    </w:p>
    <w:p w14:paraId="0D888423"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 contrat doit être régi et interprété en conformité avec la loi tchadienne. Les parties se soumettent irrévocablement à la juridiction exclusive des cours du Tchad à Ndjamena pour résoudre toute contestation ou réclamation surgissant en dehors ou en rapport avec le contrat ou son contenu ou sa formation. </w:t>
      </w:r>
    </w:p>
    <w:p w14:paraId="4941F540" w14:textId="77777777" w:rsidR="00D72843" w:rsidRPr="00D72843" w:rsidRDefault="00D72843" w:rsidP="00D72843">
      <w:pPr>
        <w:spacing w:after="0" w:line="240" w:lineRule="auto"/>
        <w:ind w:left="576" w:hanging="576"/>
        <w:rPr>
          <w:rFonts w:ascii="Calibri" w:eastAsia="Times New Roman" w:hAnsi="Calibri" w:cs="Calibri"/>
          <w:spacing w:val="-5"/>
          <w:lang w:val="fr-FR"/>
        </w:rPr>
      </w:pPr>
      <w:r w:rsidRPr="00D72843">
        <w:rPr>
          <w:rFonts w:ascii="Calibri" w:eastAsia="Times New Roman" w:hAnsi="Calibri" w:cs="Calibri"/>
          <w:spacing w:val="-5"/>
          <w:lang w:val="fr-FR"/>
        </w:rPr>
        <w:t>10.7</w:t>
      </w:r>
      <w:r w:rsidRPr="00D72843">
        <w:rPr>
          <w:rFonts w:ascii="Calibri" w:eastAsia="Times New Roman" w:hAnsi="Calibri" w:cs="Calibri"/>
          <w:spacing w:val="-5"/>
          <w:lang w:val="fr-FR"/>
        </w:rPr>
        <w:tab/>
        <w:t xml:space="preserve">Une personne qui ne serait pas régie par </w:t>
      </w:r>
      <w:proofErr w:type="gramStart"/>
      <w:r w:rsidRPr="00D72843">
        <w:rPr>
          <w:rFonts w:ascii="Calibri" w:eastAsia="Times New Roman" w:hAnsi="Calibri" w:cs="Calibri"/>
          <w:spacing w:val="-5"/>
          <w:lang w:val="fr-FR"/>
        </w:rPr>
        <w:t>ce  contrat</w:t>
      </w:r>
      <w:proofErr w:type="gramEnd"/>
      <w:r w:rsidRPr="00D72843">
        <w:rPr>
          <w:rFonts w:ascii="Calibri" w:eastAsia="Times New Roman" w:hAnsi="Calibri" w:cs="Calibri"/>
          <w:spacing w:val="-5"/>
          <w:lang w:val="fr-FR"/>
        </w:rPr>
        <w:t xml:space="preserve"> ne pourra bénéficier d’aucun droit  énoncé par celui-ci.</w:t>
      </w:r>
    </w:p>
    <w:p w14:paraId="026A7D7B" w14:textId="77777777" w:rsidR="00D72843" w:rsidRPr="00D72843" w:rsidRDefault="00D72843" w:rsidP="00D72843">
      <w:pPr>
        <w:autoSpaceDE w:val="0"/>
        <w:autoSpaceDN w:val="0"/>
        <w:spacing w:after="0" w:line="240" w:lineRule="auto"/>
        <w:ind w:left="1080"/>
        <w:jc w:val="both"/>
        <w:rPr>
          <w:rFonts w:ascii="Calibri" w:eastAsia="Times New Roman" w:hAnsi="Calibri" w:cs="Calibri"/>
          <w:snapToGrid w:val="0"/>
          <w:spacing w:val="-5"/>
          <w:lang w:val="fr-FR"/>
        </w:rPr>
      </w:pPr>
    </w:p>
    <w:p w14:paraId="5D9AFB50"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br w:type="page"/>
      </w:r>
    </w:p>
    <w:p w14:paraId="1DA823E0" w14:textId="77777777" w:rsidR="00D72843" w:rsidRPr="00D72843" w:rsidRDefault="00D72843" w:rsidP="00D72843">
      <w:pPr>
        <w:autoSpaceDE w:val="0"/>
        <w:autoSpaceDN w:val="0"/>
        <w:spacing w:after="0" w:line="240" w:lineRule="auto"/>
        <w:rPr>
          <w:rFonts w:ascii="Calibri" w:eastAsia="Times New Roman" w:hAnsi="Calibri" w:cs="Calibri"/>
          <w:b/>
          <w:spacing w:val="-5"/>
          <w:u w:val="single"/>
          <w:lang w:val="fr-FR"/>
        </w:rPr>
      </w:pPr>
      <w:r w:rsidRPr="00D72843">
        <w:rPr>
          <w:rFonts w:ascii="Calibri" w:eastAsia="Times New Roman" w:hAnsi="Calibri" w:cs="Calibri"/>
          <w:b/>
          <w:spacing w:val="-5"/>
          <w:u w:val="single"/>
          <w:lang w:val="fr-FR"/>
        </w:rPr>
        <w:lastRenderedPageBreak/>
        <w:t xml:space="preserve">Politique de lutte contre les pots-de-vin </w:t>
      </w:r>
    </w:p>
    <w:p w14:paraId="56750CDC"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u w:val="single"/>
          <w:lang w:val="fr-FR"/>
        </w:rPr>
      </w:pPr>
    </w:p>
    <w:p w14:paraId="637B2E82"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kern w:val="32"/>
          <w:lang w:val="fr-FR"/>
        </w:rPr>
      </w:pPr>
      <w:r w:rsidRPr="00D72843">
        <w:rPr>
          <w:rFonts w:ascii="Calibri" w:eastAsia="Times New Roman" w:hAnsi="Calibri" w:cs="Calibri"/>
          <w:b/>
          <w:spacing w:val="-5"/>
          <w:kern w:val="32"/>
          <w:lang w:val="fr-FR"/>
        </w:rPr>
        <w:t xml:space="preserve">But et contexte </w:t>
      </w:r>
    </w:p>
    <w:p w14:paraId="07B42239"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kern w:val="32"/>
          <w:lang w:val="fr-FR"/>
        </w:rPr>
      </w:pPr>
    </w:p>
    <w:p w14:paraId="249194E3"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La politique de Malaria Consortium est de mener son travail de façon honnête et éthique. Partout où Malaria Consortium travaille, elle adopte une approche de tolérance zéro à la corruption et s’engage à s'assurer que ses employés agissent professionnellement, équitablement et avec intégrité dans toutes les relations d'affaires partout où Malaria Consortium opère. Ceci afin de s'assurer que l'organisation bénéficie d'une réputation de sérieux et de la confiance du donneur, du partenaire et du bénéficiaire.  </w:t>
      </w:r>
    </w:p>
    <w:p w14:paraId="00099A71" w14:textId="77777777" w:rsidR="00D72843" w:rsidRPr="00D72843" w:rsidRDefault="00D72843" w:rsidP="00D72843">
      <w:pPr>
        <w:spacing w:after="0" w:line="240" w:lineRule="auto"/>
        <w:jc w:val="both"/>
        <w:rPr>
          <w:rFonts w:ascii="Calibri" w:eastAsia="Times New Roman" w:hAnsi="Calibri" w:cs="Calibri"/>
          <w:spacing w:val="-5"/>
          <w:lang w:val="fr-FR"/>
        </w:rPr>
      </w:pPr>
    </w:p>
    <w:p w14:paraId="0B768997" w14:textId="77777777" w:rsidR="00D72843" w:rsidRPr="00D72843" w:rsidRDefault="00D72843" w:rsidP="00D72843">
      <w:pPr>
        <w:keepNext/>
        <w:spacing w:after="0" w:line="240" w:lineRule="auto"/>
        <w:jc w:val="both"/>
        <w:outlineLvl w:val="0"/>
        <w:rPr>
          <w:rFonts w:ascii="Calibri" w:eastAsia="Times New Roman" w:hAnsi="Calibri" w:cs="Calibri"/>
          <w:b/>
          <w:bCs/>
          <w:spacing w:val="-5"/>
          <w:kern w:val="32"/>
          <w:lang w:val="fr-FR"/>
        </w:rPr>
      </w:pPr>
      <w:r w:rsidRPr="00D72843">
        <w:rPr>
          <w:rFonts w:ascii="Calibri" w:eastAsia="Times New Roman" w:hAnsi="Calibri" w:cs="Calibri"/>
          <w:b/>
          <w:bCs/>
          <w:spacing w:val="-5"/>
          <w:kern w:val="32"/>
          <w:lang w:val="fr-FR"/>
        </w:rPr>
        <w:t>Principes</w:t>
      </w:r>
    </w:p>
    <w:p w14:paraId="5D892399"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71277F7C"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Malaria Consortium s’engage dans la mise en application de systèmes efficaces pour lutter contre la corruption.  </w:t>
      </w:r>
    </w:p>
    <w:p w14:paraId="1352BD0C"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682B38B8"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kern w:val="32"/>
          <w:lang w:val="fr-FR"/>
        </w:rPr>
      </w:pPr>
      <w:r w:rsidRPr="00D72843">
        <w:rPr>
          <w:rFonts w:ascii="Calibri" w:eastAsia="Times New Roman" w:hAnsi="Calibri" w:cs="Calibri"/>
          <w:b/>
          <w:spacing w:val="-5"/>
          <w:kern w:val="32"/>
          <w:lang w:val="fr-FR"/>
        </w:rPr>
        <w:t>Cadre de travail</w:t>
      </w:r>
    </w:p>
    <w:p w14:paraId="5D2BCFFF"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74D74BB7"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Cette politique s'applique à tous les individus de l'organisation, y compris les administrateurs, les cadres supérieurs, les employés (qu’ils soient permanents, à temps partiel ou temporaires</w:t>
      </w:r>
      <w:proofErr w:type="gramStart"/>
      <w:r w:rsidRPr="00D72843">
        <w:rPr>
          <w:rFonts w:ascii="Calibri" w:eastAsia="Times New Roman" w:hAnsi="Calibri" w:cs="Calibri"/>
          <w:spacing w:val="-5"/>
          <w:lang w:val="fr-FR"/>
        </w:rPr>
        <w:t>),  les</w:t>
      </w:r>
      <w:proofErr w:type="gramEnd"/>
      <w:r w:rsidRPr="00D72843">
        <w:rPr>
          <w:rFonts w:ascii="Calibri" w:eastAsia="Times New Roman" w:hAnsi="Calibri" w:cs="Calibri"/>
          <w:spacing w:val="-5"/>
          <w:lang w:val="fr-FR"/>
        </w:rPr>
        <w:t xml:space="preserve"> volontaires  et les stagiaires, les conseillers, les partenaires et toute autre personne ou organisation prestataire de services payé ou bénévole au sein de Malaria Consortium. </w:t>
      </w:r>
    </w:p>
    <w:p w14:paraId="0280A2C5"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1BF119A3"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Tous les employés seront formés sur la base de cette politique en rejoignant l'organisation comme partie de leur induction aux politiques financières de Malaria Consortium. Il leur sera demandé de signer en confirmant leur lecture, leur compréhension, et leur accord de respecter son contenu. Toutes les autres personnes liées à l'organisation seront informées de cette politique par leurs arrangements contractuels. Pour les employés existants et les personnes associées, la politique leur sera communiquée par l'intermédiaire du directeur pays, du directeur des programmes régionaux dans les régions et du contrôleur financier dans chaque pays. </w:t>
      </w:r>
    </w:p>
    <w:p w14:paraId="0B71534B"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15951CE5"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kern w:val="32"/>
          <w:lang w:val="fr-FR"/>
        </w:rPr>
      </w:pPr>
      <w:r w:rsidRPr="00D72843">
        <w:rPr>
          <w:rFonts w:ascii="Calibri" w:eastAsia="Times New Roman" w:hAnsi="Calibri" w:cs="Calibri"/>
          <w:b/>
          <w:spacing w:val="-5"/>
          <w:kern w:val="32"/>
          <w:lang w:val="fr-FR"/>
        </w:rPr>
        <w:t xml:space="preserve">Définition et modalités </w:t>
      </w:r>
    </w:p>
    <w:p w14:paraId="14823CF5" w14:textId="77777777" w:rsidR="00D72843" w:rsidRPr="00D72843" w:rsidRDefault="00D72843" w:rsidP="00D72843">
      <w:pPr>
        <w:autoSpaceDE w:val="0"/>
        <w:autoSpaceDN w:val="0"/>
        <w:spacing w:after="0" w:line="240" w:lineRule="auto"/>
        <w:jc w:val="both"/>
        <w:rPr>
          <w:rFonts w:ascii="Calibri" w:eastAsia="Times New Roman" w:hAnsi="Calibri" w:cs="Calibri"/>
          <w:spacing w:val="-5"/>
          <w:u w:val="single"/>
          <w:lang w:val="fr-FR"/>
        </w:rPr>
      </w:pPr>
    </w:p>
    <w:p w14:paraId="63694C95" w14:textId="77777777" w:rsidR="00D72843" w:rsidRPr="00D72843" w:rsidRDefault="00D72843" w:rsidP="00D72843">
      <w:pPr>
        <w:autoSpaceDE w:val="0"/>
        <w:autoSpaceDN w:val="0"/>
        <w:spacing w:after="0" w:line="240" w:lineRule="auto"/>
        <w:jc w:val="both"/>
        <w:rPr>
          <w:rFonts w:ascii="Calibri" w:eastAsia="Times New Roman" w:hAnsi="Calibri" w:cs="Calibri"/>
          <w:spacing w:val="-5"/>
          <w:u w:val="single"/>
          <w:lang w:val="fr-FR"/>
        </w:rPr>
      </w:pPr>
      <w:r w:rsidRPr="00D72843">
        <w:rPr>
          <w:rFonts w:ascii="Calibri" w:eastAsia="Times New Roman" w:hAnsi="Calibri" w:cs="Calibri"/>
          <w:spacing w:val="-5"/>
          <w:u w:val="single"/>
          <w:lang w:val="fr-FR"/>
        </w:rPr>
        <w:t>Qu’est-ce-</w:t>
      </w:r>
      <w:proofErr w:type="spellStart"/>
      <w:r w:rsidRPr="00D72843">
        <w:rPr>
          <w:rFonts w:ascii="Calibri" w:eastAsia="Times New Roman" w:hAnsi="Calibri" w:cs="Calibri"/>
          <w:spacing w:val="-5"/>
          <w:u w:val="single"/>
          <w:lang w:val="fr-FR"/>
        </w:rPr>
        <w:t>qu</w:t>
      </w:r>
      <w:proofErr w:type="spellEnd"/>
      <w:r w:rsidRPr="00D72843">
        <w:rPr>
          <w:rFonts w:ascii="Calibri" w:eastAsia="Times New Roman" w:hAnsi="Calibri" w:cs="Calibri"/>
          <w:spacing w:val="-5"/>
          <w:u w:val="single"/>
          <w:lang w:val="fr-FR"/>
        </w:rPr>
        <w:t xml:space="preserve"> ’un pot de vin ? </w:t>
      </w:r>
    </w:p>
    <w:p w14:paraId="59ABD834"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Un pot de vin est un avantage financier ou autre offert ou donné : </w:t>
      </w:r>
    </w:p>
    <w:p w14:paraId="30922832" w14:textId="77777777" w:rsidR="00D72843" w:rsidRPr="00D72843" w:rsidRDefault="00D72843" w:rsidP="00E950CB">
      <w:pPr>
        <w:numPr>
          <w:ilvl w:val="0"/>
          <w:numId w:val="5"/>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À n'importe qui pour le persuader à ou pour le récompenser d’avoir effectué ses tâches incorrectement </w:t>
      </w:r>
      <w:proofErr w:type="gramStart"/>
      <w:r w:rsidRPr="00D72843">
        <w:rPr>
          <w:rFonts w:ascii="Calibri" w:eastAsia="Times New Roman" w:hAnsi="Calibri" w:cs="Calibri"/>
          <w:spacing w:val="-5"/>
          <w:lang w:val="fr-FR"/>
        </w:rPr>
        <w:t>ou</w:t>
      </w:r>
      <w:proofErr w:type="gramEnd"/>
      <w:r w:rsidRPr="00D72843">
        <w:rPr>
          <w:rFonts w:ascii="Calibri" w:eastAsia="Times New Roman" w:hAnsi="Calibri" w:cs="Calibri"/>
          <w:spacing w:val="-5"/>
          <w:lang w:val="fr-FR"/>
        </w:rPr>
        <w:t xml:space="preserve"> ; </w:t>
      </w:r>
    </w:p>
    <w:p w14:paraId="721CCFD1" w14:textId="77777777" w:rsidR="00D72843" w:rsidRPr="00D72843" w:rsidRDefault="00D72843" w:rsidP="00E950CB">
      <w:pPr>
        <w:numPr>
          <w:ilvl w:val="0"/>
          <w:numId w:val="5"/>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À tout fonctionnaire public avec l'intention de l’influencer dans l'exécution de ses fonctions. Ceci inclut toute forme de cadeau ou de paiement fait à un fonctionnaire afin d'essayer d'accélérer ou d’accomplir le processus dont il est responsable plus rapidement que d’ordinaire, peu importe la taille dudit cadeau.</w:t>
      </w:r>
    </w:p>
    <w:p w14:paraId="565D73F8" w14:textId="77777777" w:rsidR="00D72843" w:rsidRPr="00D72843" w:rsidRDefault="00D72843" w:rsidP="00E950CB">
      <w:pPr>
        <w:numPr>
          <w:ilvl w:val="0"/>
          <w:numId w:val="5"/>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La Loi de la Corruption de 2010 entrée en vigueur à partir du 1er </w:t>
      </w:r>
      <w:proofErr w:type="gramStart"/>
      <w:r w:rsidRPr="00D72843">
        <w:rPr>
          <w:rFonts w:ascii="Calibri" w:eastAsia="Times New Roman" w:hAnsi="Calibri" w:cs="Calibri"/>
          <w:spacing w:val="-5"/>
          <w:lang w:val="fr-FR"/>
        </w:rPr>
        <w:t>Juillet</w:t>
      </w:r>
      <w:proofErr w:type="gramEnd"/>
      <w:r w:rsidRPr="00D72843">
        <w:rPr>
          <w:rFonts w:ascii="Calibri" w:eastAsia="Times New Roman" w:hAnsi="Calibri" w:cs="Calibri"/>
          <w:spacing w:val="-5"/>
          <w:lang w:val="fr-FR"/>
        </w:rPr>
        <w:t xml:space="preserve"> 2011 a introduit quatre nouvelles infractions : </w:t>
      </w:r>
    </w:p>
    <w:p w14:paraId="5A36D26D" w14:textId="77777777" w:rsidR="00D72843" w:rsidRPr="00D72843" w:rsidRDefault="00D72843" w:rsidP="00E950CB">
      <w:pPr>
        <w:numPr>
          <w:ilvl w:val="1"/>
          <w:numId w:val="5"/>
        </w:numPr>
        <w:autoSpaceDE w:val="0"/>
        <w:autoSpaceDN w:val="0"/>
        <w:spacing w:after="0" w:line="240" w:lineRule="auto"/>
        <w:ind w:left="142" w:firstLine="1701"/>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offrir</w:t>
      </w:r>
      <w:proofErr w:type="gramEnd"/>
      <w:r w:rsidRPr="00D72843">
        <w:rPr>
          <w:rFonts w:ascii="Calibri" w:eastAsia="Times New Roman" w:hAnsi="Calibri" w:cs="Calibri"/>
          <w:spacing w:val="-5"/>
          <w:lang w:val="fr-FR"/>
        </w:rPr>
        <w:t>, promettre ou donner un pot-de-vin</w:t>
      </w:r>
    </w:p>
    <w:p w14:paraId="04337791" w14:textId="77777777" w:rsidR="00D72843" w:rsidRPr="00D72843" w:rsidRDefault="00D72843" w:rsidP="00E950CB">
      <w:pPr>
        <w:numPr>
          <w:ilvl w:val="1"/>
          <w:numId w:val="5"/>
        </w:numPr>
        <w:autoSpaceDE w:val="0"/>
        <w:autoSpaceDN w:val="0"/>
        <w:spacing w:after="0" w:line="240" w:lineRule="auto"/>
        <w:ind w:left="709" w:firstLine="1134"/>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demander</w:t>
      </w:r>
      <w:proofErr w:type="gramEnd"/>
      <w:r w:rsidRPr="00D72843">
        <w:rPr>
          <w:rFonts w:ascii="Calibri" w:eastAsia="Times New Roman" w:hAnsi="Calibri" w:cs="Calibri"/>
          <w:spacing w:val="-5"/>
          <w:lang w:val="fr-FR"/>
        </w:rPr>
        <w:t xml:space="preserve">, accepter de recevoir ou accepter un pot-de-vin </w:t>
      </w:r>
    </w:p>
    <w:p w14:paraId="457EB298" w14:textId="77777777" w:rsidR="00D72843" w:rsidRPr="00D72843" w:rsidRDefault="00D72843" w:rsidP="00E950CB">
      <w:pPr>
        <w:numPr>
          <w:ilvl w:val="1"/>
          <w:numId w:val="5"/>
        </w:numPr>
        <w:autoSpaceDE w:val="0"/>
        <w:autoSpaceDN w:val="0"/>
        <w:spacing w:after="0" w:line="240" w:lineRule="auto"/>
        <w:ind w:left="709" w:firstLine="1134"/>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corrompre</w:t>
      </w:r>
      <w:proofErr w:type="gramEnd"/>
      <w:r w:rsidRPr="00D72843">
        <w:rPr>
          <w:rFonts w:ascii="Calibri" w:eastAsia="Times New Roman" w:hAnsi="Calibri" w:cs="Calibri"/>
          <w:spacing w:val="-5"/>
          <w:lang w:val="fr-FR"/>
        </w:rPr>
        <w:t xml:space="preserve"> un agent public étranger pour obtenir ou conserver un marché </w:t>
      </w:r>
    </w:p>
    <w:p w14:paraId="28963E8C" w14:textId="77777777" w:rsidR="00D72843" w:rsidRPr="00D72843" w:rsidRDefault="00D72843" w:rsidP="00E950CB">
      <w:pPr>
        <w:numPr>
          <w:ilvl w:val="1"/>
          <w:numId w:val="5"/>
        </w:numPr>
        <w:autoSpaceDE w:val="0"/>
        <w:autoSpaceDN w:val="0"/>
        <w:spacing w:after="0" w:line="240" w:lineRule="auto"/>
        <w:ind w:left="1843"/>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ne</w:t>
      </w:r>
      <w:proofErr w:type="gramEnd"/>
      <w:r w:rsidRPr="00D72843">
        <w:rPr>
          <w:rFonts w:ascii="Calibri" w:eastAsia="Times New Roman" w:hAnsi="Calibri" w:cs="Calibri"/>
          <w:spacing w:val="-5"/>
          <w:lang w:val="fr-FR"/>
        </w:rPr>
        <w:t xml:space="preserve"> pas empêcher la corruption par ceux qui agissent au nom des organisations ; ce qui représente une infraction de responsabilité pour les organisations.  </w:t>
      </w:r>
    </w:p>
    <w:p w14:paraId="26EA45B8" w14:textId="77777777" w:rsidR="00D72843" w:rsidRPr="00D72843" w:rsidRDefault="00D72843" w:rsidP="00D72843">
      <w:pPr>
        <w:autoSpaceDE w:val="0"/>
        <w:autoSpaceDN w:val="0"/>
        <w:spacing w:after="0" w:line="240" w:lineRule="auto"/>
        <w:ind w:left="720"/>
        <w:jc w:val="both"/>
        <w:rPr>
          <w:rFonts w:ascii="Calibri" w:eastAsia="Times New Roman" w:hAnsi="Calibri" w:cs="Calibri"/>
          <w:spacing w:val="-5"/>
          <w:lang w:val="fr-FR"/>
        </w:rPr>
      </w:pPr>
    </w:p>
    <w:p w14:paraId="04817AEA"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kern w:val="32"/>
          <w:lang w:val="fr-FR"/>
        </w:rPr>
      </w:pPr>
      <w:r w:rsidRPr="00D72843">
        <w:rPr>
          <w:rFonts w:ascii="Calibri" w:eastAsia="Times New Roman" w:hAnsi="Calibri" w:cs="Calibri"/>
          <w:b/>
          <w:spacing w:val="-5"/>
          <w:kern w:val="32"/>
          <w:lang w:val="fr-FR"/>
        </w:rPr>
        <w:lastRenderedPageBreak/>
        <w:t xml:space="preserve">Mise en application  </w:t>
      </w:r>
    </w:p>
    <w:p w14:paraId="76551907"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39AE2053"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Toute personne suspectée d'offrir, de promettre ou de donner un pot de vin, exigeant ou acceptant de recevoir un pot de vin ou de corrompre un fonctionnaire public sera soumise à une enquête dans le cadre de la politique disciplinaire de l'organisation et si elle est coupable, sera renvoyée pour faute grave. Tout partenaire contractuel surpris en train d’offrir, de promettre ou de donner un pot de vin ou de demander ou accepter de recevoir un pot de vin ou de corrompre un fonctionnaire public étranger, verra son contrat résilié immédiatement, toutes les relations commerciales cesseront, une compensation financière sera requise et il sera dénoncé aux autorités selon les exigences de la Loi. </w:t>
      </w:r>
    </w:p>
    <w:p w14:paraId="681AD083"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67BE32EA"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Quiconque serait confronté à une demande de corruption doit présenter une copie ou expliquer cette politique d'Anti-corruption et ne doit accepter le pot de vin sous aucune circonstance. Tous les véhicules doivent porter une copie de la politique à cette fin.  </w:t>
      </w:r>
    </w:p>
    <w:p w14:paraId="06B4287B" w14:textId="77777777" w:rsidR="00D72843" w:rsidRPr="00D72843" w:rsidRDefault="00D72843" w:rsidP="00D72843">
      <w:pPr>
        <w:autoSpaceDE w:val="0"/>
        <w:autoSpaceDN w:val="0"/>
        <w:spacing w:after="0" w:line="240" w:lineRule="auto"/>
        <w:jc w:val="both"/>
        <w:rPr>
          <w:rFonts w:ascii="Calibri" w:eastAsia="Times New Roman" w:hAnsi="Calibri" w:cs="Calibri"/>
          <w:spacing w:val="-5"/>
          <w:u w:val="single"/>
          <w:lang w:val="fr-FR"/>
        </w:rPr>
      </w:pPr>
    </w:p>
    <w:p w14:paraId="4881B89F"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Donations et hospitalité </w:t>
      </w:r>
    </w:p>
    <w:p w14:paraId="33947F9C"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62F040F6"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Cette politique n'interdit pas de donner et/ou de recevoir des donations de faible valeur ainsi que l'hospitalité normale et appropriée. Les donations et invitations peuvent être assimilées à un pot-de-vin ; à cet égard celles-ci ne doivent pas être reçues ou offertes dans l’intention d’inciter qui que ce soit à agir fallacieusement ou à accomplir son devoir. Des cadeaux d’une valeur maximale de 10 GBP sont acceptables dans la mesure ou le responsable financier du pays concerné donne son accord et ou la donation est consignée dans le registre de dons et invitations. Les articles de valeur négligeable tels que calendrier et stylos ne doivent pas être déclarés sur cette liste. La limite de 10 GBP s’applique à chaque individu, à ce titre dans le cas où une boite de chocolat est offerte en cadeau à l’intention de l’intégralité d’un bureau, alors ce cadeau est jugé acceptable. Le responsable financier du pays doit être informé de toute donation et toute invitation, quand bien même celle-ci ne serait pas acceptée.</w:t>
      </w:r>
    </w:p>
    <w:p w14:paraId="35F90D89"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2E891763"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Toute offre ou promesse doit être documentée, qu'elle soit approuvée ou non par le directeur financier du pays dans le registre d'intérêt et des donations du pays. Malaria Consortium ne fait pas de donations externes, bien que dans les projets, quelques activités telles que des primes à moindre coût données aux travailleurs bénévoles, puissent être acceptables. Celles-ci doivent survenir dans l’intervalle du projet original et de son budget tel que convenu avec le donneur. </w:t>
      </w:r>
    </w:p>
    <w:p w14:paraId="5C5309E7"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78AFD40E"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 registre sera accessible au directeur pays, aux auditeurs internes et externes et au personnel régional et du siège de l’organisation qui effectuent des contrôles au cours de visites dans le pays. </w:t>
      </w:r>
    </w:p>
    <w:p w14:paraId="0C6727EE"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6C739F43"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Paiements et pots de vin de facilitation </w:t>
      </w:r>
    </w:p>
    <w:p w14:paraId="2AB1CA52"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01AB84BC"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Malaria Consortium ne fait pas, et n'acceptera pas des paiements de facilitation ou des "pots de vin" de quelque sorte qui soit. Les pots de vin sont en général des petits paiements officieux effectués pour cautionner ou expédier une action courante du gouvernement par un fonctionnaire du gouvernement, par exemple assurer le passage de marchandises ou de personnes par les douanes. Les pots de vin sont typiquement des paiements effectués en échange d’une faveur ou d’un avantage d'affaires, par exemple, la réduction du délai de livraison des marchandises et des services. Tous les employés doivent éviter toute activité qui peut entrainer un paiement ou un remboursement de facilitation effectué ou accepté au nom de Malaria Consortium.</w:t>
      </w:r>
    </w:p>
    <w:p w14:paraId="2C0FC4B7"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73FA5E98"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Donations </w:t>
      </w:r>
    </w:p>
    <w:p w14:paraId="670BF450"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50A88E15"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Malaria Consortium n’offre aucune contribution à des partis politiques.</w:t>
      </w:r>
    </w:p>
    <w:p w14:paraId="6D5FA07B"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p>
    <w:p w14:paraId="089C7B42"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Systèmes Financiers </w:t>
      </w:r>
    </w:p>
    <w:p w14:paraId="76314E18"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5C8DD49F"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Malaria Consortium tiendra des registres financiers et s’assurera que les contrôles internes appropriés sont mis en place pour garantir </w:t>
      </w:r>
      <w:r w:rsidR="007D3CB6" w:rsidRPr="00D72843">
        <w:rPr>
          <w:rFonts w:ascii="Calibri" w:eastAsia="Times New Roman" w:hAnsi="Calibri" w:cs="Calibri"/>
          <w:spacing w:val="-5"/>
          <w:lang w:val="fr-FR"/>
        </w:rPr>
        <w:t>qu’il</w:t>
      </w:r>
      <w:r w:rsidRPr="00D72843">
        <w:rPr>
          <w:rFonts w:ascii="Calibri" w:eastAsia="Times New Roman" w:hAnsi="Calibri" w:cs="Calibri"/>
          <w:spacing w:val="-5"/>
          <w:lang w:val="fr-FR"/>
        </w:rPr>
        <w:t xml:space="preserve"> y ait une trace de tous les paiements effectués aux tiers afin d'empêcher que des paiements de soudoiement n’aient lieu. </w:t>
      </w:r>
    </w:p>
    <w:p w14:paraId="4822B2CD"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7632308C"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Toute demande de remboursement de dépenses concernant l'hospitalité, les dons ou les dépenses encourues pour le compte d’un tiers doit être soumise conformément aux procédures financières et doit spécifiquement mentionner la raison de la dépense. </w:t>
      </w:r>
    </w:p>
    <w:p w14:paraId="7E7D4F09"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284E06EE"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Tout compte, toute facture, tout mémorandum et tout autre document et registre concernant les relations d'affaires avec les tiers, tels que les clients, les fournisseurs et d'autres contacts d'affaires, doivent être intégralement préparés et maintenus avec exactitude. Aucune comptabilité ne doit être maintenue en-dehors de la comptabilité officielle pour faciliter ou dissimuler des paiements. </w:t>
      </w:r>
    </w:p>
    <w:p w14:paraId="546C9946"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6540F0D6"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Arbitrage</w:t>
      </w:r>
    </w:p>
    <w:p w14:paraId="07643CDA"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2B7F3B62"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Les employés sont encouragés à dénoncer toute inquiétude ou soupçon par rapport à la mauvaise mise en pratique de cette politique anti-corruption le plus tôt possible et conformément à la politique d’arbitrage de Malaria Consortium. Malaria Consortium mettra en application des sanctions administratives et criminelles strictes pour faire preuve d’une tolérance zéro face à la corruption. </w:t>
      </w:r>
    </w:p>
    <w:p w14:paraId="4B15DD51"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20D8478A"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Surveillance </w:t>
      </w:r>
    </w:p>
    <w:p w14:paraId="243D4E2E"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5EECF467"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L'efficacité de cette politique sera régulièrement évaluée par le comité directeur et par les systèmes de contrôle interne. Les procédures seront soumises à l'audit sous la vérification de l’audit interne. </w:t>
      </w:r>
    </w:p>
    <w:p w14:paraId="43690E60" w14:textId="77777777" w:rsidR="00D72843" w:rsidRPr="00D72843" w:rsidRDefault="00D72843" w:rsidP="00D72843">
      <w:pPr>
        <w:autoSpaceDE w:val="0"/>
        <w:autoSpaceDN w:val="0"/>
        <w:spacing w:after="0" w:line="240" w:lineRule="auto"/>
        <w:ind w:left="1080"/>
        <w:jc w:val="both"/>
        <w:rPr>
          <w:rFonts w:ascii="Calibri" w:eastAsia="Times New Roman" w:hAnsi="Calibri" w:cs="Calibri"/>
          <w:spacing w:val="-5"/>
          <w:lang w:val="fr-FR"/>
        </w:rPr>
      </w:pPr>
    </w:p>
    <w:p w14:paraId="3059557D" w14:textId="77777777" w:rsidR="00D72843" w:rsidRPr="00D72843" w:rsidRDefault="00D72843" w:rsidP="00D72843">
      <w:pPr>
        <w:spacing w:after="0" w:line="240" w:lineRule="auto"/>
        <w:jc w:val="both"/>
        <w:rPr>
          <w:rFonts w:ascii="Calibri" w:eastAsia="Times New Roman" w:hAnsi="Calibri" w:cs="Calibri"/>
          <w:b/>
          <w:spacing w:val="-5"/>
          <w:u w:val="single"/>
          <w:lang w:val="fr-FR"/>
        </w:rPr>
      </w:pPr>
      <w:r w:rsidRPr="00D72843">
        <w:rPr>
          <w:rFonts w:ascii="Calibri" w:eastAsia="Calibri" w:hAnsi="Calibri" w:cs="Calibri"/>
          <w:b/>
          <w:u w:val="single"/>
          <w:lang w:val="fr-FR"/>
        </w:rPr>
        <w:br w:type="page"/>
      </w:r>
    </w:p>
    <w:p w14:paraId="6E31635D"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u w:val="single"/>
          <w:lang w:val="fr-FR"/>
        </w:rPr>
      </w:pPr>
    </w:p>
    <w:p w14:paraId="77BDE782"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u w:val="single"/>
          <w:lang w:val="fr-FR"/>
        </w:rPr>
      </w:pPr>
    </w:p>
    <w:p w14:paraId="4B6768D4"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u w:val="single"/>
          <w:lang w:val="fr-FR"/>
        </w:rPr>
      </w:pPr>
      <w:r w:rsidRPr="00D72843">
        <w:rPr>
          <w:rFonts w:ascii="Calibri" w:eastAsia="Times New Roman" w:hAnsi="Calibri" w:cs="Calibri"/>
          <w:b/>
          <w:spacing w:val="-5"/>
          <w:u w:val="single"/>
          <w:lang w:val="fr-FR"/>
        </w:rPr>
        <w:t xml:space="preserve">Politique antifraude et Anti-corruption </w:t>
      </w:r>
    </w:p>
    <w:p w14:paraId="592D5791"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u w:val="single"/>
          <w:lang w:val="fr-FR"/>
        </w:rPr>
      </w:pPr>
    </w:p>
    <w:p w14:paraId="3B854B9D"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But et Contexte </w:t>
      </w:r>
    </w:p>
    <w:p w14:paraId="03B29C22"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761C6C83"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 but de la Politique Anti-Fraude et Anti-Corruption de Malaria Consortium est de minimiser la fraude par un certain nombre de mesures, y compris des politiques claires, des processus, des audits internes et externes réguliers et la formation de tout personnel. </w:t>
      </w:r>
    </w:p>
    <w:p w14:paraId="3B7BC537"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1649B0EA"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Principes </w:t>
      </w:r>
    </w:p>
    <w:p w14:paraId="2414C3FF"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4BAFCFF3"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Malaria Consortium est engagée à enquêter tous les cas présumés de fraude, de détournement ou d'autres irrégularités similaires. Détecter la fraude et la corruption est la responsabilité de chacun et si un incident ou un incident potentiel est découvert le personnel doit le signaler immédiatement, comme requis par la politique de dénonciation de Malaria Consortium. </w:t>
      </w:r>
    </w:p>
    <w:p w14:paraId="32C96D9A"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747E7BFE"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Cadre de travail </w:t>
      </w:r>
    </w:p>
    <w:p w14:paraId="3367B151"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2C0A3596"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Malaria Consortium est engagée à maintenir une réputation intacte avec ses bailleurs de fonds, les partenaires, les bénéficiaires et les fournisseurs. Tous les employés de Malaria Consortium sont dans l'obligation de maintenir l'intégrité dans toutes les actions et doivent éviter des circonstances qui compromettent leurs décisions ou leurs actions. Tous les employés doivent veiller à ce que les pratiques commerciales éthiques et les intérêts de l'organisation soient respectés. </w:t>
      </w:r>
    </w:p>
    <w:p w14:paraId="1EB68812"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5B8EE671"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Cela représente une violation majeure des politiques de Malaria Consortium pour les employés de dissimuler sciemment, de falsifier ou de dénaturer un fait important relatif à toute transaction. Une fausse déclaration peut comprendre, mais sans se limiter à : la signature de réception des marchandises ou services non encore reçus ou terminés, ou la modification de tout document pour masquer ou modifier le résultat, y compris </w:t>
      </w:r>
      <w:proofErr w:type="gramStart"/>
      <w:r w:rsidRPr="00D72843">
        <w:rPr>
          <w:rFonts w:ascii="Calibri" w:eastAsia="Times New Roman" w:hAnsi="Calibri" w:cs="Calibri"/>
          <w:spacing w:val="-5"/>
          <w:lang w:val="fr-FR"/>
        </w:rPr>
        <w:t>l'anti datation</w:t>
      </w:r>
      <w:proofErr w:type="gramEnd"/>
      <w:r w:rsidRPr="00D72843">
        <w:rPr>
          <w:rFonts w:ascii="Calibri" w:eastAsia="Times New Roman" w:hAnsi="Calibri" w:cs="Calibri"/>
          <w:spacing w:val="-5"/>
          <w:lang w:val="fr-FR"/>
        </w:rPr>
        <w:t xml:space="preserve"> des documents. Les violations prouvées conduiront à des mesures disciplinaires pouvant aller jusqu'au licenciement et une action en justice. </w:t>
      </w:r>
    </w:p>
    <w:p w14:paraId="142B56F8"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5DB41A5F"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Définition et modalités </w:t>
      </w:r>
    </w:p>
    <w:p w14:paraId="616483C7"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68205E41"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La fraude est définie dans la Loi Britannique de fraude datée de 2006, comme une fausse déclaration, l’omission de la divulgation des renseignements ou des abus de position, afin de réaliser un gain pour vous-même, d'une autre personne, de provoquer ou d'exposer une autre à un risque de perte. La fraude couvre un acte de tromperie, la corruption, la falsification, l'extorsion, le vol, le détournement, la fausse représentation, complot, corruption, collusion, détournement ou dissimulation de faits importants. </w:t>
      </w:r>
    </w:p>
    <w:p w14:paraId="3CCCD235"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18A918FE"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Anti-</w:t>
      </w:r>
      <w:proofErr w:type="gramStart"/>
      <w:r w:rsidRPr="00D72843">
        <w:rPr>
          <w:rFonts w:ascii="Calibri" w:eastAsia="Times New Roman" w:hAnsi="Calibri" w:cs="Calibri"/>
          <w:spacing w:val="-5"/>
          <w:lang w:val="fr-FR"/>
        </w:rPr>
        <w:t>corruption:</w:t>
      </w:r>
      <w:proofErr w:type="gramEnd"/>
      <w:r w:rsidRPr="00D72843">
        <w:rPr>
          <w:rFonts w:ascii="Calibri" w:eastAsia="Times New Roman" w:hAnsi="Calibri" w:cs="Calibri"/>
          <w:spacing w:val="-5"/>
          <w:lang w:val="fr-FR"/>
        </w:rPr>
        <w:t xml:space="preserve"> concerne les mesures prises pour éliminer ou empêcher une conduite malhonnête ou frauduleuse. </w:t>
      </w:r>
    </w:p>
    <w:p w14:paraId="2A3084AB"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225E5709"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Les actes de fraude et de corruption comprennent, mais ne sont pas limités à :  </w:t>
      </w:r>
    </w:p>
    <w:p w14:paraId="183DAF9E"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1186EE7C"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la falsification des horaires de travail ou registres de paie • la falsification des frais de déplacement et de divertissement  • le reportage fictif ou imaginaire des recettes des fournisseurs ou des livraisons aux clients • la </w:t>
      </w:r>
      <w:r w:rsidRPr="00D72843">
        <w:rPr>
          <w:rFonts w:ascii="Calibri" w:eastAsia="Times New Roman" w:hAnsi="Calibri" w:cs="Calibri"/>
          <w:spacing w:val="-5"/>
          <w:lang w:val="fr-FR"/>
        </w:rPr>
        <w:lastRenderedPageBreak/>
        <w:t xml:space="preserve">création de fausses factures ou commandes d'achat, y compris l'anti datation des documents • le détournement du matériel, des ressources et même des données de Malaria Consortium • les anomalies significatives de revenus • les anomalies significatives des actifs • la sous-évaluation du passif • le paiement de pots-de-vin, qui est le paiement à une autre personne pour induire une certaine action de leur part, ce qui inclut les paiements aux fonctionnaires des agents de police qui demandent des paiements non officiels sur les barrages routiers la réception d'argent ou de cadeaux afin d'entreprendre une certaine action, par exemple la commande avec un fournisseur spécifique • l’obtention d'actifs par la tromperie • la revendication de fournir des services inexistants aux bénéficiaires et d'autres formes identifiées de fraude </w:t>
      </w:r>
    </w:p>
    <w:p w14:paraId="0077B35D"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0B289FA0"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b/>
          <w:spacing w:val="-5"/>
          <w:lang w:val="fr-FR"/>
        </w:rPr>
        <w:t xml:space="preserve">Mise en œuvre </w:t>
      </w:r>
    </w:p>
    <w:p w14:paraId="30807061"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4A640182"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Étapes pour atténuer les occasions </w:t>
      </w:r>
    </w:p>
    <w:p w14:paraId="799AA643"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3CE94C2E"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L'organisation adopte les mesures anti-fraude suivantes pour réduire le risque d'activités frauduleuses : </w:t>
      </w:r>
    </w:p>
    <w:p w14:paraId="5D1C53A8"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22C230CB"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des politiques claires sur la conduite attendue du personnel de l'organisation, par exemple les mesures anti-corruption et le Code de Conduite communiqués dans le cadre du programme et des mises à jour transmises au personnel lors des réunions d'équipe. </w:t>
      </w:r>
    </w:p>
    <w:p w14:paraId="0ED6B0A5"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des enquêtes sur toutes les incidences suspectées et confirmées de fraude, en lien avec les instructions sur la fraude de Malaria Consortium.  </w:t>
      </w:r>
    </w:p>
    <w:p w14:paraId="5D4355B3"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 signalement à la police et à la Commission de Charité de toute activité frauduleuse. </w:t>
      </w:r>
    </w:p>
    <w:p w14:paraId="7B3B90DC"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la mise en œuvre de contrôles stricts et l’information du personnel sur les procédures et les mesures en place. </w:t>
      </w:r>
    </w:p>
    <w:p w14:paraId="37314A26"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l’assurance que les dossiers de toutes les recettes et les dépenses soient conservés et reçus, avec les factures et les pièces justificatives adéquates. </w:t>
      </w:r>
    </w:p>
    <w:p w14:paraId="78F661F4"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la vérification que les contrôles financiers ne soient pas remplacés, contournés ou ignorés. </w:t>
      </w:r>
    </w:p>
    <w:p w14:paraId="1F18B8CA"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la réconciliation des comptes bancaires mensuels et l’exécution de contrôles sur place. </w:t>
      </w:r>
    </w:p>
    <w:p w14:paraId="1275EDA2"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la hiérarchisation selon les niveaux d'autorité et de signatures des délégués pour tous paiements </w:t>
      </w:r>
    </w:p>
    <w:p w14:paraId="512A27EF"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la restriction et la surveillance étroite de l'accès aux informations sensibles </w:t>
      </w:r>
    </w:p>
    <w:p w14:paraId="594ACB9F"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la mise en œuvre d’une fonction de vérification interne examinant les processus et les procédures sur une base de risque. </w:t>
      </w:r>
    </w:p>
    <w:p w14:paraId="25727DC3"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l’établissement de rôles clairement définis pour le personnel et la séparation des tâches. </w:t>
      </w:r>
    </w:p>
    <w:p w14:paraId="344F6401"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64BC3CBF"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Malaria Consortium a une tolérance zéro à la fraude et la corruption. Malaria Consortium appliquera des sanctions énergiques pour lutter contre la fraude et la corruption, y compris des mesures disciplinaires et le signalement de toute activité criminelle présumée à la police. </w:t>
      </w:r>
    </w:p>
    <w:p w14:paraId="2473690B"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color w:val="00B050"/>
          <w:spacing w:val="-5"/>
          <w:u w:val="single"/>
          <w:lang w:val="fr-FR"/>
        </w:rPr>
      </w:pPr>
    </w:p>
    <w:p w14:paraId="7A9195EC"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3E317126"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09CEA6BC"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57DF2B4D"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278CFADF"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668104F1"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7EA779C6"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79F7942B"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29FC1D8C"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3C09EE82"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640FB3FC"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4978C4AE"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r w:rsidRPr="00D72843">
        <w:rPr>
          <w:rFonts w:ascii="Calibri" w:eastAsia="Times New Roman" w:hAnsi="Calibri" w:cs="Calibri"/>
          <w:b/>
          <w:spacing w:val="-5"/>
          <w:u w:val="single"/>
          <w:lang w:val="fr-FR"/>
        </w:rPr>
        <w:lastRenderedPageBreak/>
        <w:t xml:space="preserve">Politique de protection de l’enfance  </w:t>
      </w:r>
    </w:p>
    <w:p w14:paraId="391E23E6"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5453FC7B"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DECLARATION D'ENGAGEMENT </w:t>
      </w:r>
    </w:p>
    <w:p w14:paraId="3509D0ED"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54A0F08F"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lang w:val="fr-FR" w:eastAsia="en-GB"/>
        </w:rPr>
        <w:t>Malaria Consortium</w:t>
      </w:r>
      <w:r w:rsidRPr="00D72843">
        <w:rPr>
          <w:rFonts w:ascii="Calibri" w:eastAsia="Times New Roman" w:hAnsi="Calibri" w:cs="Calibri"/>
          <w:spacing w:val="-5"/>
          <w:lang w:val="fr-FR"/>
        </w:rPr>
        <w:t xml:space="preserve"> s’engage à se conformer à </w:t>
      </w:r>
      <w:proofErr w:type="gramStart"/>
      <w:r w:rsidRPr="00D72843">
        <w:rPr>
          <w:rFonts w:ascii="Calibri" w:eastAsia="Times New Roman" w:hAnsi="Calibri" w:cs="Calibri"/>
          <w:spacing w:val="-5"/>
          <w:lang w:val="fr-FR"/>
        </w:rPr>
        <w:t>toute les lois locales</w:t>
      </w:r>
      <w:proofErr w:type="gramEnd"/>
      <w:r w:rsidRPr="00D72843">
        <w:rPr>
          <w:rFonts w:ascii="Calibri" w:eastAsia="Times New Roman" w:hAnsi="Calibri" w:cs="Calibri"/>
          <w:spacing w:val="-5"/>
          <w:lang w:val="fr-FR"/>
        </w:rPr>
        <w:t xml:space="preserve"> sur le droit et le bien-être de l'enfant afin de garantir le meilleur intérêt de l'enfant ; cela inclut toute loi en vigueur relative au travail des enfants.   </w:t>
      </w:r>
    </w:p>
    <w:p w14:paraId="3D397D55"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618A087C"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lang w:val="fr-FR" w:eastAsia="en-GB"/>
        </w:rPr>
        <w:t>Malaria Consortium</w:t>
      </w:r>
      <w:r w:rsidRPr="00D72843">
        <w:rPr>
          <w:rFonts w:ascii="Calibri" w:eastAsia="Times New Roman" w:hAnsi="Calibri" w:cs="Calibri"/>
          <w:spacing w:val="-5"/>
          <w:lang w:val="fr-FR"/>
        </w:rPr>
        <w:t xml:space="preserve"> s’engage au bien-être et au respect des droits des enfants. </w:t>
      </w:r>
      <w:proofErr w:type="gramStart"/>
      <w:r w:rsidRPr="00D72843">
        <w:rPr>
          <w:rFonts w:ascii="Calibri" w:eastAsia="Times New Roman" w:hAnsi="Calibri" w:cs="Calibri"/>
          <w:spacing w:val="-5"/>
          <w:lang w:val="fr-FR"/>
        </w:rPr>
        <w:t>il</w:t>
      </w:r>
      <w:proofErr w:type="gramEnd"/>
      <w:r w:rsidRPr="00D72843">
        <w:rPr>
          <w:rFonts w:ascii="Calibri" w:eastAsia="Times New Roman" w:hAnsi="Calibri" w:cs="Calibri"/>
          <w:spacing w:val="-5"/>
          <w:lang w:val="fr-FR"/>
        </w:rPr>
        <w:t xml:space="preserve"> est attendu que tout le personnel, les volontaires, les stagiaires, conseillers, visiteurs, donneurs, prestataires de service, administrateurs ou commanditaires de </w:t>
      </w:r>
      <w:r w:rsidRPr="00D72843">
        <w:rPr>
          <w:rFonts w:ascii="Calibri" w:eastAsia="Times New Roman" w:hAnsi="Calibri" w:cs="Calibri"/>
          <w:lang w:val="fr-FR" w:eastAsia="en-GB"/>
        </w:rPr>
        <w:t>Malaria Consortium</w:t>
      </w:r>
      <w:r w:rsidRPr="00D72843">
        <w:rPr>
          <w:rFonts w:ascii="Calibri" w:eastAsia="Times New Roman" w:hAnsi="Calibri" w:cs="Calibri"/>
          <w:spacing w:val="-5"/>
          <w:lang w:val="fr-FR"/>
        </w:rPr>
        <w:t xml:space="preserve"> traitent tous les enfants et tout autre employé avec respect et dignité sans distinction de race, de couleur, de sexe, d’ethnie, de religion ou de croyance politique ou toute autre opinion, d’origine morale ou sociale, de handicap, de naissance ou de tout autre statut. Cela inclut tous les enfants de moins de 18 ans.</w:t>
      </w:r>
    </w:p>
    <w:p w14:paraId="07745863"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156F918E"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Aucun comportement inadéquat, de harcèlement, abusif, sexuellement provocateur ou toute forme de dégradation verbale envers les enfants ne sera toléré. Les différentes formes d'abus d'enfant sont : </w:t>
      </w:r>
    </w:p>
    <w:p w14:paraId="742FA1EA"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62638A16" w14:textId="77777777" w:rsidR="00D72843" w:rsidRPr="00D72843" w:rsidRDefault="00D72843" w:rsidP="00E950CB">
      <w:pPr>
        <w:numPr>
          <w:ilvl w:val="0"/>
          <w:numId w:val="6"/>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Abus Physique : Toutes punitions et abus physique envers les enfants tels que des coups portés avec un bâton ou tout autre instrument, l’empoisonnement, l’intimidation et l’étouffement ou le travail forcé de l'enfant dans une situation/environnent dangereux. Ces comportements affectent délibérément et négativement le bien-être physique des enfants. </w:t>
      </w:r>
    </w:p>
    <w:p w14:paraId="1FB56667" w14:textId="77777777" w:rsidR="00D72843" w:rsidRPr="00D72843" w:rsidRDefault="00D72843" w:rsidP="00E950CB">
      <w:pPr>
        <w:numPr>
          <w:ilvl w:val="0"/>
          <w:numId w:val="6"/>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Abus moral : Toute action (gestes, paroles et comportement) qui affectent délibérément le bien-être mental/émotionnel d'un enfant en générant intimidation, anxiété, gêne ou découragement. </w:t>
      </w:r>
    </w:p>
    <w:p w14:paraId="0D26534A" w14:textId="77777777" w:rsidR="00D72843" w:rsidRPr="00D72843" w:rsidRDefault="00D72843" w:rsidP="00E950CB">
      <w:pPr>
        <w:numPr>
          <w:ilvl w:val="0"/>
          <w:numId w:val="6"/>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Négligence : Toute action qui néglige délibérément le respect des quatre droits essentiels des enfants (droit de vivre, droit d'apprendre, droit de participation et le droit à la parole). </w:t>
      </w:r>
    </w:p>
    <w:p w14:paraId="1255F781" w14:textId="77777777" w:rsidR="00D72843" w:rsidRPr="00D72843" w:rsidRDefault="00D72843" w:rsidP="00E950CB">
      <w:pPr>
        <w:numPr>
          <w:ilvl w:val="0"/>
          <w:numId w:val="6"/>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Abus Sexuel : Toute action avec intention sexuelle envers les enfants telles que l’attouchement des parties génitales des enfants, la contrainte à voir ou participer à la pornographie ou des relations sexuelles.</w:t>
      </w:r>
    </w:p>
    <w:p w14:paraId="0704DD7E"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60B1E524"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lang w:val="fr-FR" w:eastAsia="en-GB"/>
        </w:rPr>
        <w:t>Malaria Consortium s’engage</w:t>
      </w:r>
      <w:r w:rsidRPr="00D72843">
        <w:rPr>
          <w:rFonts w:ascii="Calibri" w:eastAsia="Times New Roman" w:hAnsi="Calibri" w:cs="Calibri"/>
          <w:spacing w:val="-5"/>
          <w:lang w:val="fr-FR"/>
        </w:rPr>
        <w:t xml:space="preserve"> à informer les enfants, les décideurs, et le public à travers les médias que l'abus d'enfant est immoral. Il est aussi entendu que garder le silence est également mauvais. </w:t>
      </w:r>
    </w:p>
    <w:p w14:paraId="23B08307"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459F5B11"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De toutes les façons possibles, les enfants sont également inclus comme des principaux intervenants, car </w:t>
      </w:r>
      <w:r w:rsidRPr="00D72843">
        <w:rPr>
          <w:rFonts w:ascii="Calibri" w:eastAsia="Times New Roman" w:hAnsi="Calibri" w:cs="Calibri"/>
          <w:lang w:val="fr-FR" w:eastAsia="en-GB"/>
        </w:rPr>
        <w:t>Malaria Consortium</w:t>
      </w:r>
      <w:r w:rsidRPr="00D72843">
        <w:rPr>
          <w:rFonts w:ascii="Calibri" w:eastAsia="Times New Roman" w:hAnsi="Calibri" w:cs="Calibri"/>
          <w:spacing w:val="-5"/>
          <w:lang w:val="fr-FR"/>
        </w:rPr>
        <w:t xml:space="preserve"> estime que les enfants ont le droit de </w:t>
      </w:r>
      <w:proofErr w:type="gramStart"/>
      <w:r w:rsidRPr="00D72843">
        <w:rPr>
          <w:rFonts w:ascii="Calibri" w:eastAsia="Times New Roman" w:hAnsi="Calibri" w:cs="Calibri"/>
          <w:spacing w:val="-5"/>
          <w:lang w:val="fr-FR"/>
        </w:rPr>
        <w:t>s’exprimer  et</w:t>
      </w:r>
      <w:proofErr w:type="gramEnd"/>
      <w:r w:rsidRPr="00D72843">
        <w:rPr>
          <w:rFonts w:ascii="Calibri" w:eastAsia="Times New Roman" w:hAnsi="Calibri" w:cs="Calibri"/>
          <w:spacing w:val="-5"/>
          <w:lang w:val="fr-FR"/>
        </w:rPr>
        <w:t xml:space="preserve"> d’être écoutés. Les impliquer dans le processus leur permet également de connaitre leur droit à la protection. Les enfants sont encouragés à participer activement, à partager l'information et à être impliqués dans des initiatives de recommandation. </w:t>
      </w:r>
    </w:p>
    <w:p w14:paraId="0D756582"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6BC3E6E5"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Tout le personnel, les visiteurs, partenaires et prestataires de service se soumettent à cette politique qui est révisée tous les deux ans.  </w:t>
      </w:r>
    </w:p>
    <w:p w14:paraId="557DC1A5"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547ACADB"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lang w:val="en-GB"/>
        </w:rPr>
      </w:pPr>
      <w:r w:rsidRPr="00D72843">
        <w:rPr>
          <w:rFonts w:ascii="Calibri" w:eastAsia="Times New Roman" w:hAnsi="Calibri" w:cs="Calibri"/>
          <w:b/>
          <w:spacing w:val="-5"/>
          <w:lang w:val="en-GB"/>
        </w:rPr>
        <w:t xml:space="preserve">PROTOCOLES DE CONDUITE </w:t>
      </w:r>
    </w:p>
    <w:p w14:paraId="05C50D54"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en-GB"/>
        </w:rPr>
      </w:pPr>
    </w:p>
    <w:p w14:paraId="739CF3DA" w14:textId="77777777" w:rsidR="00D72843" w:rsidRPr="00D72843" w:rsidRDefault="00D72843" w:rsidP="00E950CB">
      <w:pPr>
        <w:numPr>
          <w:ilvl w:val="0"/>
          <w:numId w:val="7"/>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Autant que possible, on doit s'assurer qu'un autre adulte est présent lorsqu’on travaille à proximité des enfants. Dormir près des enfants non supervisés ne sera pas autorisé à moins que cela soit absolument nécessaire. </w:t>
      </w:r>
    </w:p>
    <w:p w14:paraId="6743F611" w14:textId="77777777" w:rsidR="00D72843" w:rsidRPr="00D72843" w:rsidRDefault="00D72843" w:rsidP="00E950CB">
      <w:pPr>
        <w:numPr>
          <w:ilvl w:val="0"/>
          <w:numId w:val="7"/>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lastRenderedPageBreak/>
        <w:t>Un enfant ne participera à aucune forme d'activités ou d'actes sexuels. Les adultes seront toujours responsables de leur comportement et ne peuvent pas inculper l'enfant même si celui-ci provoque ou agit de manière séduisante.</w:t>
      </w:r>
    </w:p>
    <w:p w14:paraId="3543DE64" w14:textId="77777777" w:rsidR="00D72843" w:rsidRPr="00D72843" w:rsidRDefault="00D72843" w:rsidP="00E950CB">
      <w:pPr>
        <w:numPr>
          <w:ilvl w:val="0"/>
          <w:numId w:val="7"/>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Les ordinateurs, les téléphones portables, les vidéos et les appareils-photo numériques seront utilisés convenablement, et jamais dans le but d’exploiter ou de harceler les enfants ou d’accéder à la pornographie infantile par n'importe quel moyen. </w:t>
      </w:r>
    </w:p>
    <w:p w14:paraId="07B7719B" w14:textId="77777777" w:rsidR="00D72843" w:rsidRPr="00D72843" w:rsidRDefault="00D72843" w:rsidP="00E950CB">
      <w:pPr>
        <w:numPr>
          <w:ilvl w:val="0"/>
          <w:numId w:val="7"/>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Si les protocoles ne sont pas respectés, les personnes impliquées seront </w:t>
      </w:r>
      <w:proofErr w:type="gramStart"/>
      <w:r w:rsidRPr="00D72843">
        <w:rPr>
          <w:rFonts w:ascii="Calibri" w:eastAsia="Times New Roman" w:hAnsi="Calibri" w:cs="Calibri"/>
          <w:spacing w:val="-5"/>
          <w:lang w:val="fr-FR"/>
        </w:rPr>
        <w:t>suivis</w:t>
      </w:r>
      <w:proofErr w:type="gramEnd"/>
      <w:r w:rsidRPr="00D72843">
        <w:rPr>
          <w:rFonts w:ascii="Calibri" w:eastAsia="Times New Roman" w:hAnsi="Calibri" w:cs="Calibri"/>
          <w:spacing w:val="-5"/>
          <w:lang w:val="fr-FR"/>
        </w:rPr>
        <w:t xml:space="preserve"> en procédure disciplinaire et une telle action disciplinaire pourrait avoir comme conséquence le renvoi de l’employé.</w:t>
      </w:r>
    </w:p>
    <w:p w14:paraId="238E0188" w14:textId="77777777" w:rsidR="00D72843" w:rsidRPr="00D72843" w:rsidRDefault="00D72843" w:rsidP="00E950CB">
      <w:pPr>
        <w:numPr>
          <w:ilvl w:val="0"/>
          <w:numId w:val="7"/>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Les Communautés et les enfants avec qui le personnel de </w:t>
      </w:r>
      <w:r w:rsidRPr="00D72843">
        <w:rPr>
          <w:rFonts w:ascii="Calibri" w:eastAsia="Times New Roman" w:hAnsi="Calibri" w:cs="Calibri"/>
          <w:lang w:val="fr-FR" w:eastAsia="en-GB"/>
        </w:rPr>
        <w:t xml:space="preserve">Malaria Consortium </w:t>
      </w:r>
      <w:r w:rsidRPr="00D72843">
        <w:rPr>
          <w:rFonts w:ascii="Calibri" w:eastAsia="Times New Roman" w:hAnsi="Calibri" w:cs="Calibri"/>
          <w:spacing w:val="-5"/>
          <w:lang w:val="fr-FR"/>
        </w:rPr>
        <w:t xml:space="preserve">travaille, seront informés des protocoles et assurés qu’aucun projet en cours ne sera interrompu s'ils rapportent des comportements suspicieux. En outre, aucun employé ne sera renvoyé pour avoir rapporté des comportements suspicieux. </w:t>
      </w:r>
    </w:p>
    <w:p w14:paraId="19DD770E" w14:textId="77777777" w:rsidR="00D72843" w:rsidRPr="00D72843" w:rsidRDefault="00D72843" w:rsidP="00E950CB">
      <w:pPr>
        <w:numPr>
          <w:ilvl w:val="0"/>
          <w:numId w:val="7"/>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Dans le cas où un enfant serait placé dans une communauté, les parents d’adoption seront sélectionnés et formés de manière approfondie afin de s’assurer de l’attention portée à l’enfant et de la sauvegarde de sa sécurité.</w:t>
      </w:r>
    </w:p>
    <w:p w14:paraId="602D13D9" w14:textId="77777777" w:rsidR="00D72843" w:rsidRPr="00D72843" w:rsidRDefault="00D72843" w:rsidP="00E950CB">
      <w:pPr>
        <w:numPr>
          <w:ilvl w:val="0"/>
          <w:numId w:val="7"/>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lang w:val="fr-FR" w:eastAsia="en-GB"/>
        </w:rPr>
        <w:t>Malaria Consortium</w:t>
      </w:r>
      <w:r w:rsidRPr="00D72843">
        <w:rPr>
          <w:rFonts w:ascii="Calibri" w:eastAsia="Times New Roman" w:hAnsi="Calibri" w:cs="Calibri"/>
          <w:spacing w:val="-5"/>
          <w:lang w:val="fr-FR"/>
        </w:rPr>
        <w:t xml:space="preserve">, ses associés et prestataires de service n’emploieront pas d’enfants pour les travaux domestiques ou tout autre travail inapproprié, compte tenu de leur âge ou étape développementale, qui interfère avec leur temps disponible pour l'éducation et les activités de récréation, ou qui les expose à un risque physique significatif.  </w:t>
      </w:r>
    </w:p>
    <w:p w14:paraId="3C5F5BC7"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lang w:val="fr-FR" w:eastAsia="en-GB"/>
        </w:rPr>
      </w:pPr>
    </w:p>
    <w:p w14:paraId="3150A302"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RÉPONSES AUX ALLÉGATIONS </w:t>
      </w:r>
    </w:p>
    <w:p w14:paraId="7D8A42AA"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Les individus doivent immédiatement signaler des cas ou des allégations d'abus d'enfant. Lorsqu’une allégation est portée au sujet d’un membre du personnel /un visiteur/un prestataire de service de l'organisation qui aurait abusé d’un enfant, </w:t>
      </w:r>
      <w:r w:rsidRPr="00D72843">
        <w:rPr>
          <w:rFonts w:ascii="Calibri" w:eastAsia="Times New Roman" w:hAnsi="Calibri" w:cs="Calibri"/>
          <w:lang w:val="fr-FR" w:eastAsia="en-GB"/>
        </w:rPr>
        <w:t>Malaria Consortium</w:t>
      </w:r>
      <w:r w:rsidRPr="00D72843">
        <w:rPr>
          <w:rFonts w:ascii="Calibri" w:eastAsia="Times New Roman" w:hAnsi="Calibri" w:cs="Calibri"/>
          <w:spacing w:val="-5"/>
          <w:lang w:val="fr-FR"/>
        </w:rPr>
        <w:t xml:space="preserve"> mènera toutes les enquêtes nécessaires et prendra la mesure appropriée pour faire face à la situation. </w:t>
      </w:r>
    </w:p>
    <w:p w14:paraId="3C2C63C7"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0DFC920D" w14:textId="77777777" w:rsidR="00D72843" w:rsidRPr="00D72843" w:rsidRDefault="00D72843" w:rsidP="00E950CB">
      <w:pPr>
        <w:numPr>
          <w:ilvl w:val="0"/>
          <w:numId w:val="8"/>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lang w:val="fr-FR" w:eastAsia="en-GB"/>
        </w:rPr>
        <w:t>Malaria Consortium</w:t>
      </w:r>
      <w:r w:rsidRPr="00D72843">
        <w:rPr>
          <w:rFonts w:ascii="Calibri" w:eastAsia="Times New Roman" w:hAnsi="Calibri" w:cs="Calibri"/>
          <w:spacing w:val="-5"/>
          <w:lang w:val="fr-FR"/>
        </w:rPr>
        <w:t xml:space="preserve"> aura une personne spécifiquement en charge des questions de protection de l’enfance dans l'organisation. </w:t>
      </w:r>
    </w:p>
    <w:p w14:paraId="2D7BBE83" w14:textId="77777777" w:rsidR="00D72843" w:rsidRPr="00D72843" w:rsidRDefault="00D72843" w:rsidP="00E950CB">
      <w:pPr>
        <w:numPr>
          <w:ilvl w:val="0"/>
          <w:numId w:val="8"/>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La victime (et le malfaiteur) seront traités avec respect du début de la procédure d’investigation jusqu’à la fin. </w:t>
      </w:r>
    </w:p>
    <w:p w14:paraId="7F486D7F" w14:textId="77777777" w:rsidR="00D72843" w:rsidRPr="00D72843" w:rsidRDefault="00D72843" w:rsidP="00E950CB">
      <w:pPr>
        <w:numPr>
          <w:ilvl w:val="0"/>
          <w:numId w:val="8"/>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Les enfants mentent rarement dans de pareilles situations, aussi leur version doit-elle être entendue et respectée, à moins que la preuve contraire soit apportée. Les enfants peuvent également exiger une protection supplémentaire si le malfaiteur n'a pas été arrêté. </w:t>
      </w:r>
    </w:p>
    <w:p w14:paraId="189D8D09" w14:textId="77777777" w:rsidR="00D72843" w:rsidRPr="00D72843" w:rsidRDefault="00D72843" w:rsidP="00E950CB">
      <w:pPr>
        <w:numPr>
          <w:ilvl w:val="0"/>
          <w:numId w:val="8"/>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lang w:val="fr-FR" w:eastAsia="en-GB"/>
        </w:rPr>
        <w:t>Malaria Consortium</w:t>
      </w:r>
      <w:r w:rsidRPr="00D72843">
        <w:rPr>
          <w:rFonts w:ascii="Calibri" w:eastAsia="Times New Roman" w:hAnsi="Calibri" w:cs="Calibri"/>
          <w:spacing w:val="-5"/>
          <w:lang w:val="fr-FR"/>
        </w:rPr>
        <w:t xml:space="preserve"> respectera les lignes de communication, en s’assurant que le directeur pays soit informé, ainsi que toute autre personne en accord avec les exigences de la situation. </w:t>
      </w:r>
    </w:p>
    <w:p w14:paraId="6F385B52" w14:textId="77777777" w:rsidR="00D72843" w:rsidRPr="00D72843" w:rsidRDefault="00D72843" w:rsidP="00E950CB">
      <w:pPr>
        <w:numPr>
          <w:ilvl w:val="0"/>
          <w:numId w:val="8"/>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Des rapports écrits seront rédigés pour tous les faits liés à l’enquête ; ceux-ci doivent être minutieusement et confidentiellement classés. </w:t>
      </w:r>
    </w:p>
    <w:p w14:paraId="60145CD0" w14:textId="77777777" w:rsidR="00D72843" w:rsidRPr="00D72843" w:rsidRDefault="00D72843" w:rsidP="00E950CB">
      <w:pPr>
        <w:numPr>
          <w:ilvl w:val="0"/>
          <w:numId w:val="8"/>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L'ambassade appropriée doit être informée si un étranger est impliqué. </w:t>
      </w:r>
    </w:p>
    <w:p w14:paraId="08397381" w14:textId="77777777" w:rsidR="00D72843" w:rsidRPr="00D72843" w:rsidRDefault="00D72843" w:rsidP="00E950CB">
      <w:pPr>
        <w:numPr>
          <w:ilvl w:val="0"/>
          <w:numId w:val="8"/>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Une personne sera désignée pour toute communication avec les services de police.  </w:t>
      </w:r>
    </w:p>
    <w:p w14:paraId="1F10CA79"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623436AF"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lang w:val="fr-FR"/>
        </w:rPr>
      </w:pPr>
    </w:p>
    <w:p w14:paraId="0822B04B"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UTILISATION DES IMAGES ET DES DONNEES PERSONNELLES D’ENFANTS POUR LA PROMOTION, LA LEVEE DE FONDS ET LE DÉVELOPPEMENT DE L’EDUCATION </w:t>
      </w:r>
    </w:p>
    <w:p w14:paraId="35D1E31F"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5002E6BD"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En photographiant ou filmant un enfant dans le cadre du travail, </w:t>
      </w:r>
      <w:r w:rsidRPr="00D72843">
        <w:rPr>
          <w:rFonts w:ascii="Calibri" w:eastAsia="Times New Roman" w:hAnsi="Calibri" w:cs="Calibri"/>
          <w:lang w:val="fr-FR" w:eastAsia="en-GB"/>
        </w:rPr>
        <w:t>Malaria Consortium</w:t>
      </w:r>
      <w:r w:rsidRPr="00D72843">
        <w:rPr>
          <w:rFonts w:ascii="Calibri" w:eastAsia="Times New Roman" w:hAnsi="Calibri" w:cs="Calibri"/>
          <w:spacing w:val="-5"/>
          <w:lang w:val="fr-FR"/>
        </w:rPr>
        <w:t xml:space="preserve"> doit : </w:t>
      </w:r>
    </w:p>
    <w:p w14:paraId="1A5ACFA2" w14:textId="77777777" w:rsidR="00D72843" w:rsidRPr="00D72843" w:rsidRDefault="00D72843" w:rsidP="00E950CB">
      <w:pPr>
        <w:numPr>
          <w:ilvl w:val="0"/>
          <w:numId w:val="9"/>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lastRenderedPageBreak/>
        <w:t xml:space="preserve">Avant de photographier ou filmer un enfant, évaluer et faire tout le nécessaire pour se conformer aux traditions et/ou aux restrictions locales s’appliquant à la reproduction d’image personnelle. </w:t>
      </w:r>
    </w:p>
    <w:p w14:paraId="28DC2DB4" w14:textId="77777777" w:rsidR="00D72843" w:rsidRPr="00D72843" w:rsidRDefault="00D72843" w:rsidP="00E950CB">
      <w:pPr>
        <w:numPr>
          <w:ilvl w:val="0"/>
          <w:numId w:val="9"/>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Avant de photographier ou filmer un enfant un enfant, obtenir le consentement de l'enfant ou d'un parent ou d'un gardien de l'enfant. On doit expliquer à l'enfant comment la photographie ou le film sera utilisé. </w:t>
      </w:r>
    </w:p>
    <w:p w14:paraId="21D2208B" w14:textId="77777777" w:rsidR="00D72843" w:rsidRPr="00D72843" w:rsidRDefault="00D72843" w:rsidP="00E950CB">
      <w:pPr>
        <w:numPr>
          <w:ilvl w:val="0"/>
          <w:numId w:val="9"/>
        </w:numPr>
        <w:autoSpaceDE w:val="0"/>
        <w:autoSpaceDN w:val="0"/>
        <w:adjustRightInd w:val="0"/>
        <w:spacing w:after="0" w:line="240" w:lineRule="auto"/>
        <w:jc w:val="both"/>
        <w:rPr>
          <w:rFonts w:ascii="Calibri" w:eastAsia="Times New Roman" w:hAnsi="Calibri" w:cs="Calibri"/>
          <w:spacing w:val="-5"/>
          <w:lang w:val="fr-FR"/>
        </w:rPr>
      </w:pPr>
      <w:r>
        <w:rPr>
          <w:rFonts w:ascii="Calibri" w:eastAsia="Times New Roman" w:hAnsi="Calibri" w:cs="Calibri"/>
          <w:spacing w:val="-5"/>
          <w:lang w:val="fr-FR"/>
        </w:rPr>
        <w:t>S’assurer que les ph</w:t>
      </w:r>
      <w:r w:rsidRPr="00D72843">
        <w:rPr>
          <w:rFonts w:ascii="Calibri" w:eastAsia="Times New Roman" w:hAnsi="Calibri" w:cs="Calibri"/>
          <w:spacing w:val="-5"/>
          <w:lang w:val="fr-FR"/>
        </w:rPr>
        <w:t xml:space="preserve">otographies, les films, les vidéos et les DVD présentent les enfants de manière digne et respectueuse et non d'une façon vulnérable ou docile. Les enfants doivent être habillés de manière adéquate et ne peuvent pas être représentés dans des positions sexuellement suggestives. </w:t>
      </w:r>
    </w:p>
    <w:p w14:paraId="15373949" w14:textId="77777777" w:rsidR="00D72843" w:rsidRPr="00D72843" w:rsidRDefault="00D72843" w:rsidP="00E950CB">
      <w:pPr>
        <w:numPr>
          <w:ilvl w:val="0"/>
          <w:numId w:val="9"/>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S’assurer que les images constituent une représentation honnête du contexte et des faits. </w:t>
      </w:r>
    </w:p>
    <w:p w14:paraId="029D4F42" w14:textId="77777777" w:rsidR="00D72843" w:rsidRPr="00D72843" w:rsidRDefault="00D72843" w:rsidP="00E950CB">
      <w:pPr>
        <w:numPr>
          <w:ilvl w:val="0"/>
          <w:numId w:val="9"/>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S’assurer que les noms de fichier n'indiquent aucune information permettant d’identifier un enfant lors de l’envoi électronique d’images. </w:t>
      </w:r>
    </w:p>
    <w:p w14:paraId="67F6511E" w14:textId="77777777" w:rsidR="00D72843" w:rsidRPr="00D72843" w:rsidRDefault="00D72843" w:rsidP="00D72843">
      <w:pPr>
        <w:spacing w:after="200" w:line="240" w:lineRule="auto"/>
        <w:ind w:left="1080" w:hanging="360"/>
        <w:contextualSpacing/>
        <w:rPr>
          <w:rFonts w:ascii="Calibri" w:eastAsia="Calibri" w:hAnsi="Calibri" w:cs="Times New Roman"/>
          <w:b/>
          <w:sz w:val="28"/>
          <w:szCs w:val="28"/>
          <w:lang w:val="fr-FR"/>
        </w:rPr>
      </w:pPr>
    </w:p>
    <w:p w14:paraId="6F92EA4D" w14:textId="77777777" w:rsidR="00F825D5" w:rsidRPr="000E1672" w:rsidRDefault="00F825D5">
      <w:pPr>
        <w:rPr>
          <w:lang w:val="fr-FR"/>
        </w:rPr>
      </w:pPr>
    </w:p>
    <w:sectPr w:rsidR="00F825D5" w:rsidRPr="000E1672" w:rsidSect="00422E8A">
      <w:pgSz w:w="12240" w:h="1584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2FB6" w14:textId="77777777" w:rsidR="00565580" w:rsidRDefault="00565580">
      <w:pPr>
        <w:spacing w:after="0" w:line="240" w:lineRule="auto"/>
      </w:pPr>
      <w:r>
        <w:separator/>
      </w:r>
    </w:p>
  </w:endnote>
  <w:endnote w:type="continuationSeparator" w:id="0">
    <w:p w14:paraId="42A81755" w14:textId="77777777" w:rsidR="00565580" w:rsidRDefault="0056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yriadPro-BlackSemiExt">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6A9A" w14:textId="77777777" w:rsidR="006B388A" w:rsidRDefault="006B38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A18ECE" w14:textId="77777777" w:rsidR="006B388A" w:rsidRDefault="006B388A">
    <w:pPr>
      <w:pStyle w:val="Footer"/>
    </w:pPr>
  </w:p>
  <w:p w14:paraId="25F04E27" w14:textId="77777777" w:rsidR="006B388A" w:rsidRDefault="006B38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2679" w14:textId="77777777" w:rsidR="006B388A" w:rsidRPr="003D5730" w:rsidRDefault="006B388A" w:rsidP="00D72843">
    <w:pPr>
      <w:pStyle w:val="Footer"/>
      <w:tabs>
        <w:tab w:val="left" w:pos="8310"/>
        <w:tab w:val="right" w:pos="9404"/>
      </w:tabs>
      <w:ind w:left="0"/>
      <w:rPr>
        <w:sz w:val="18"/>
        <w:szCs w:val="18"/>
        <w:lang w:val="en-GB"/>
      </w:rPr>
    </w:pPr>
    <w:r>
      <w:rPr>
        <w:sz w:val="18"/>
        <w:szCs w:val="18"/>
        <w:lang w:val="en-GB"/>
      </w:rPr>
      <w:t>Malaria Consortium RFP –</w:t>
    </w:r>
  </w:p>
  <w:p w14:paraId="2ED6BB90" w14:textId="77777777" w:rsidR="006B388A" w:rsidRDefault="006B388A" w:rsidP="00D72843">
    <w:pPr>
      <w:pStyle w:val="Footer"/>
      <w:ind w:left="0"/>
      <w:rPr>
        <w:i/>
        <w:iCs/>
      </w:rPr>
    </w:pPr>
  </w:p>
  <w:p w14:paraId="7EE6415A" w14:textId="77777777" w:rsidR="006B388A" w:rsidRPr="00710BED" w:rsidRDefault="006B388A">
    <w:pPr>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1707" w14:textId="77777777" w:rsidR="00565580" w:rsidRDefault="00565580">
      <w:pPr>
        <w:spacing w:after="0" w:line="240" w:lineRule="auto"/>
      </w:pPr>
      <w:r>
        <w:separator/>
      </w:r>
    </w:p>
  </w:footnote>
  <w:footnote w:type="continuationSeparator" w:id="0">
    <w:p w14:paraId="05410BA8" w14:textId="77777777" w:rsidR="00565580" w:rsidRDefault="00565580">
      <w:pPr>
        <w:spacing w:after="0" w:line="240" w:lineRule="auto"/>
      </w:pPr>
      <w:r>
        <w:continuationSeparator/>
      </w:r>
    </w:p>
  </w:footnote>
  <w:footnote w:id="1">
    <w:p w14:paraId="40688A47" w14:textId="77777777" w:rsidR="00476D60" w:rsidRPr="009059B2" w:rsidRDefault="00476D60" w:rsidP="00476D60">
      <w:pPr>
        <w:pStyle w:val="FootnoteText"/>
        <w:rPr>
          <w:lang w:val="fr-FR"/>
        </w:rPr>
      </w:pPr>
      <w:r>
        <w:rPr>
          <w:rStyle w:val="FootnoteReference"/>
        </w:rPr>
        <w:footnoteRef/>
      </w:r>
      <w:r w:rsidRPr="00FB6248">
        <w:t>http://www.who.int/immunization/monitoring_surveillance/Vaccination_coverage_cluster_survey_with_annexes.pdf</w:t>
      </w:r>
    </w:p>
  </w:footnote>
  <w:footnote w:id="2">
    <w:p w14:paraId="058D9F90" w14:textId="77777777" w:rsidR="00476D60" w:rsidRPr="008F585D" w:rsidRDefault="00476D60" w:rsidP="00476D60">
      <w:pPr>
        <w:pStyle w:val="FootnoteText"/>
        <w:rPr>
          <w:lang w:val="fr-FR"/>
        </w:rPr>
      </w:pPr>
      <w:r>
        <w:rPr>
          <w:rStyle w:val="FootnoteReference"/>
        </w:rPr>
        <w:footnoteRef/>
      </w:r>
      <w:r w:rsidRPr="008F585D">
        <w:rPr>
          <w:lang w:val="fr-FR"/>
        </w:rPr>
        <w:t xml:space="preserve"> </w:t>
      </w:r>
      <w:r>
        <w:rPr>
          <w:lang w:val="fr-FR"/>
        </w:rPr>
        <w:t>Du fait de la qualité de l’enquête de fin de cycle 1 (LQAS1), le taux minimal dans les districts a été retenu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1586" w14:textId="77777777" w:rsidR="006B388A" w:rsidRPr="00D918FE" w:rsidRDefault="006B388A" w:rsidP="00D72843">
    <w:pPr>
      <w:pStyle w:val="Header"/>
      <w:ind w:left="0"/>
      <w:rPr>
        <w:lang w:val="en-US"/>
      </w:rPr>
    </w:pPr>
  </w:p>
  <w:p w14:paraId="2D6BB0B7" w14:textId="77777777" w:rsidR="006B388A" w:rsidRDefault="006B38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6F2"/>
    <w:multiLevelType w:val="singleLevel"/>
    <w:tmpl w:val="7F9ABA8E"/>
    <w:lvl w:ilvl="0">
      <w:numFmt w:val="bullet"/>
      <w:lvlText w:val="-"/>
      <w:lvlJc w:val="left"/>
      <w:pPr>
        <w:tabs>
          <w:tab w:val="num" w:pos="360"/>
        </w:tabs>
        <w:ind w:left="360" w:hanging="360"/>
      </w:pPr>
      <w:rPr>
        <w:rFonts w:hint="default"/>
      </w:rPr>
    </w:lvl>
  </w:abstractNum>
  <w:abstractNum w:abstractNumId="1" w15:restartNumberingAfterBreak="0">
    <w:nsid w:val="02471DE3"/>
    <w:multiLevelType w:val="hybridMultilevel"/>
    <w:tmpl w:val="10E8D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B1BC4"/>
    <w:multiLevelType w:val="hybridMultilevel"/>
    <w:tmpl w:val="A3E878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BC564E"/>
    <w:multiLevelType w:val="hybridMultilevel"/>
    <w:tmpl w:val="B7ACCEFC"/>
    <w:lvl w:ilvl="0" w:tplc="047670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FF17D2"/>
    <w:multiLevelType w:val="hybridMultilevel"/>
    <w:tmpl w:val="0EECA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F0AD1"/>
    <w:multiLevelType w:val="hybridMultilevel"/>
    <w:tmpl w:val="58A889F4"/>
    <w:lvl w:ilvl="0" w:tplc="FF1C5C3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2B365F"/>
    <w:multiLevelType w:val="multilevel"/>
    <w:tmpl w:val="10F4E8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2757EC"/>
    <w:multiLevelType w:val="hybridMultilevel"/>
    <w:tmpl w:val="877059A2"/>
    <w:lvl w:ilvl="0" w:tplc="157A2F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8533F"/>
    <w:multiLevelType w:val="hybridMultilevel"/>
    <w:tmpl w:val="BEBCB49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59A0DFE"/>
    <w:multiLevelType w:val="hybridMultilevel"/>
    <w:tmpl w:val="11D8F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1A2868"/>
    <w:multiLevelType w:val="hybridMultilevel"/>
    <w:tmpl w:val="BA5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C0D7D"/>
    <w:multiLevelType w:val="hybridMultilevel"/>
    <w:tmpl w:val="4D2CE900"/>
    <w:lvl w:ilvl="0" w:tplc="0409001B">
      <w:start w:val="1"/>
      <w:numFmt w:val="lowerRoman"/>
      <w:lvlText w:val="%1."/>
      <w:lvlJc w:val="right"/>
      <w:pPr>
        <w:ind w:left="2160" w:hanging="18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3D09525D"/>
    <w:multiLevelType w:val="hybridMultilevel"/>
    <w:tmpl w:val="3488CF62"/>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6691E"/>
    <w:multiLevelType w:val="hybridMultilevel"/>
    <w:tmpl w:val="E3D03E4A"/>
    <w:lvl w:ilvl="0" w:tplc="0D26E8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4A4B6E90"/>
    <w:multiLevelType w:val="hybridMultilevel"/>
    <w:tmpl w:val="C4B4C75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42585D"/>
    <w:multiLevelType w:val="multilevel"/>
    <w:tmpl w:val="7FE6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4881A9A"/>
    <w:multiLevelType w:val="hybridMultilevel"/>
    <w:tmpl w:val="5B5A01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5927A18"/>
    <w:multiLevelType w:val="hybridMultilevel"/>
    <w:tmpl w:val="73F02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82D10BC"/>
    <w:multiLevelType w:val="hybridMultilevel"/>
    <w:tmpl w:val="5C06B2DC"/>
    <w:lvl w:ilvl="0" w:tplc="157A2F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60B139B6"/>
    <w:multiLevelType w:val="hybridMultilevel"/>
    <w:tmpl w:val="638C71A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66522652"/>
    <w:multiLevelType w:val="hybridMultilevel"/>
    <w:tmpl w:val="C1567276"/>
    <w:lvl w:ilvl="0" w:tplc="08090001">
      <w:start w:val="1"/>
      <w:numFmt w:val="bullet"/>
      <w:lvlText w:val=""/>
      <w:lvlJc w:val="left"/>
      <w:pPr>
        <w:ind w:left="3792" w:hanging="360"/>
      </w:pPr>
      <w:rPr>
        <w:rFonts w:ascii="Symbol" w:hAnsi="Symbol" w:hint="default"/>
      </w:rPr>
    </w:lvl>
    <w:lvl w:ilvl="1" w:tplc="08090003" w:tentative="1">
      <w:start w:val="1"/>
      <w:numFmt w:val="bullet"/>
      <w:lvlText w:val="o"/>
      <w:lvlJc w:val="left"/>
      <w:pPr>
        <w:ind w:left="4512" w:hanging="360"/>
      </w:pPr>
      <w:rPr>
        <w:rFonts w:ascii="Courier New" w:hAnsi="Courier New" w:cs="Courier New" w:hint="default"/>
      </w:rPr>
    </w:lvl>
    <w:lvl w:ilvl="2" w:tplc="08090005" w:tentative="1">
      <w:start w:val="1"/>
      <w:numFmt w:val="bullet"/>
      <w:lvlText w:val=""/>
      <w:lvlJc w:val="left"/>
      <w:pPr>
        <w:ind w:left="5232" w:hanging="360"/>
      </w:pPr>
      <w:rPr>
        <w:rFonts w:ascii="Wingdings" w:hAnsi="Wingdings" w:hint="default"/>
      </w:rPr>
    </w:lvl>
    <w:lvl w:ilvl="3" w:tplc="08090001" w:tentative="1">
      <w:start w:val="1"/>
      <w:numFmt w:val="bullet"/>
      <w:lvlText w:val=""/>
      <w:lvlJc w:val="left"/>
      <w:pPr>
        <w:ind w:left="5952" w:hanging="360"/>
      </w:pPr>
      <w:rPr>
        <w:rFonts w:ascii="Symbol" w:hAnsi="Symbol" w:hint="default"/>
      </w:rPr>
    </w:lvl>
    <w:lvl w:ilvl="4" w:tplc="08090003" w:tentative="1">
      <w:start w:val="1"/>
      <w:numFmt w:val="bullet"/>
      <w:lvlText w:val="o"/>
      <w:lvlJc w:val="left"/>
      <w:pPr>
        <w:ind w:left="6672" w:hanging="360"/>
      </w:pPr>
      <w:rPr>
        <w:rFonts w:ascii="Courier New" w:hAnsi="Courier New" w:cs="Courier New" w:hint="default"/>
      </w:rPr>
    </w:lvl>
    <w:lvl w:ilvl="5" w:tplc="08090005" w:tentative="1">
      <w:start w:val="1"/>
      <w:numFmt w:val="bullet"/>
      <w:lvlText w:val=""/>
      <w:lvlJc w:val="left"/>
      <w:pPr>
        <w:ind w:left="7392" w:hanging="360"/>
      </w:pPr>
      <w:rPr>
        <w:rFonts w:ascii="Wingdings" w:hAnsi="Wingdings" w:hint="default"/>
      </w:rPr>
    </w:lvl>
    <w:lvl w:ilvl="6" w:tplc="08090001" w:tentative="1">
      <w:start w:val="1"/>
      <w:numFmt w:val="bullet"/>
      <w:lvlText w:val=""/>
      <w:lvlJc w:val="left"/>
      <w:pPr>
        <w:ind w:left="8112" w:hanging="360"/>
      </w:pPr>
      <w:rPr>
        <w:rFonts w:ascii="Symbol" w:hAnsi="Symbol" w:hint="default"/>
      </w:rPr>
    </w:lvl>
    <w:lvl w:ilvl="7" w:tplc="08090003" w:tentative="1">
      <w:start w:val="1"/>
      <w:numFmt w:val="bullet"/>
      <w:lvlText w:val="o"/>
      <w:lvlJc w:val="left"/>
      <w:pPr>
        <w:ind w:left="8832" w:hanging="360"/>
      </w:pPr>
      <w:rPr>
        <w:rFonts w:ascii="Courier New" w:hAnsi="Courier New" w:cs="Courier New" w:hint="default"/>
      </w:rPr>
    </w:lvl>
    <w:lvl w:ilvl="8" w:tplc="08090005" w:tentative="1">
      <w:start w:val="1"/>
      <w:numFmt w:val="bullet"/>
      <w:lvlText w:val=""/>
      <w:lvlJc w:val="left"/>
      <w:pPr>
        <w:ind w:left="9552" w:hanging="360"/>
      </w:pPr>
      <w:rPr>
        <w:rFonts w:ascii="Wingdings" w:hAnsi="Wingdings" w:hint="default"/>
      </w:rPr>
    </w:lvl>
  </w:abstractNum>
  <w:abstractNum w:abstractNumId="26" w15:restartNumberingAfterBreak="0">
    <w:nsid w:val="67090423"/>
    <w:multiLevelType w:val="hybridMultilevel"/>
    <w:tmpl w:val="491AC0C2"/>
    <w:lvl w:ilvl="0" w:tplc="7604DD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51BB3"/>
    <w:multiLevelType w:val="hybridMultilevel"/>
    <w:tmpl w:val="A33840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D0193D"/>
    <w:multiLevelType w:val="hybridMultilevel"/>
    <w:tmpl w:val="E760D378"/>
    <w:lvl w:ilvl="0" w:tplc="08090001">
      <w:start w:val="1"/>
      <w:numFmt w:val="bullet"/>
      <w:lvlText w:val=""/>
      <w:lvlJc w:val="left"/>
      <w:pPr>
        <w:ind w:left="3874" w:hanging="360"/>
      </w:pPr>
      <w:rPr>
        <w:rFonts w:ascii="Symbol" w:hAnsi="Symbol" w:hint="default"/>
      </w:rPr>
    </w:lvl>
    <w:lvl w:ilvl="1" w:tplc="08090003">
      <w:start w:val="1"/>
      <w:numFmt w:val="bullet"/>
      <w:lvlText w:val="o"/>
      <w:lvlJc w:val="left"/>
      <w:pPr>
        <w:ind w:left="4594" w:hanging="360"/>
      </w:pPr>
      <w:rPr>
        <w:rFonts w:ascii="Courier New" w:hAnsi="Courier New" w:cs="Courier New" w:hint="default"/>
      </w:rPr>
    </w:lvl>
    <w:lvl w:ilvl="2" w:tplc="08090005" w:tentative="1">
      <w:start w:val="1"/>
      <w:numFmt w:val="bullet"/>
      <w:lvlText w:val=""/>
      <w:lvlJc w:val="left"/>
      <w:pPr>
        <w:ind w:left="5314" w:hanging="360"/>
      </w:pPr>
      <w:rPr>
        <w:rFonts w:ascii="Wingdings" w:hAnsi="Wingdings" w:hint="default"/>
      </w:rPr>
    </w:lvl>
    <w:lvl w:ilvl="3" w:tplc="08090001" w:tentative="1">
      <w:start w:val="1"/>
      <w:numFmt w:val="bullet"/>
      <w:lvlText w:val=""/>
      <w:lvlJc w:val="left"/>
      <w:pPr>
        <w:ind w:left="6034" w:hanging="360"/>
      </w:pPr>
      <w:rPr>
        <w:rFonts w:ascii="Symbol" w:hAnsi="Symbol" w:hint="default"/>
      </w:rPr>
    </w:lvl>
    <w:lvl w:ilvl="4" w:tplc="08090003" w:tentative="1">
      <w:start w:val="1"/>
      <w:numFmt w:val="bullet"/>
      <w:lvlText w:val="o"/>
      <w:lvlJc w:val="left"/>
      <w:pPr>
        <w:ind w:left="6754" w:hanging="360"/>
      </w:pPr>
      <w:rPr>
        <w:rFonts w:ascii="Courier New" w:hAnsi="Courier New" w:cs="Courier New" w:hint="default"/>
      </w:rPr>
    </w:lvl>
    <w:lvl w:ilvl="5" w:tplc="08090005" w:tentative="1">
      <w:start w:val="1"/>
      <w:numFmt w:val="bullet"/>
      <w:lvlText w:val=""/>
      <w:lvlJc w:val="left"/>
      <w:pPr>
        <w:ind w:left="7474" w:hanging="360"/>
      </w:pPr>
      <w:rPr>
        <w:rFonts w:ascii="Wingdings" w:hAnsi="Wingdings" w:hint="default"/>
      </w:rPr>
    </w:lvl>
    <w:lvl w:ilvl="6" w:tplc="08090001" w:tentative="1">
      <w:start w:val="1"/>
      <w:numFmt w:val="bullet"/>
      <w:lvlText w:val=""/>
      <w:lvlJc w:val="left"/>
      <w:pPr>
        <w:ind w:left="8194" w:hanging="360"/>
      </w:pPr>
      <w:rPr>
        <w:rFonts w:ascii="Symbol" w:hAnsi="Symbol" w:hint="default"/>
      </w:rPr>
    </w:lvl>
    <w:lvl w:ilvl="7" w:tplc="08090003" w:tentative="1">
      <w:start w:val="1"/>
      <w:numFmt w:val="bullet"/>
      <w:lvlText w:val="o"/>
      <w:lvlJc w:val="left"/>
      <w:pPr>
        <w:ind w:left="8914" w:hanging="360"/>
      </w:pPr>
      <w:rPr>
        <w:rFonts w:ascii="Courier New" w:hAnsi="Courier New" w:cs="Courier New" w:hint="default"/>
      </w:rPr>
    </w:lvl>
    <w:lvl w:ilvl="8" w:tplc="08090005" w:tentative="1">
      <w:start w:val="1"/>
      <w:numFmt w:val="bullet"/>
      <w:lvlText w:val=""/>
      <w:lvlJc w:val="left"/>
      <w:pPr>
        <w:ind w:left="9634" w:hanging="360"/>
      </w:pPr>
      <w:rPr>
        <w:rFonts w:ascii="Wingdings" w:hAnsi="Wingdings" w:hint="default"/>
      </w:rPr>
    </w:lvl>
  </w:abstractNum>
  <w:abstractNum w:abstractNumId="29" w15:restartNumberingAfterBreak="0">
    <w:nsid w:val="6C635EB3"/>
    <w:multiLevelType w:val="hybridMultilevel"/>
    <w:tmpl w:val="24B6BC04"/>
    <w:lvl w:ilvl="0" w:tplc="81702028">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3FC5601"/>
    <w:multiLevelType w:val="hybridMultilevel"/>
    <w:tmpl w:val="9E38779C"/>
    <w:lvl w:ilvl="0" w:tplc="34E233CA">
      <w:start w:val="1"/>
      <w:numFmt w:val="decimal"/>
      <w:lvlText w:val="%1."/>
      <w:lvlJc w:val="left"/>
      <w:pPr>
        <w:ind w:left="960" w:hanging="360"/>
      </w:pPr>
      <w:rPr>
        <w:rFonts w:hint="default"/>
        <w:b/>
      </w:rPr>
    </w:lvl>
    <w:lvl w:ilvl="1" w:tplc="3B1C0EFC">
      <w:start w:val="1"/>
      <w:numFmt w:val="lowerLetter"/>
      <w:lvlText w:val="%2."/>
      <w:lvlJc w:val="left"/>
      <w:pPr>
        <w:ind w:left="1230" w:hanging="360"/>
      </w:pPr>
      <w:rPr>
        <w:b/>
      </w:rPr>
    </w:lvl>
    <w:lvl w:ilvl="2" w:tplc="0809001B">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1" w15:restartNumberingAfterBreak="0">
    <w:nsid w:val="779D1D03"/>
    <w:multiLevelType w:val="hybridMultilevel"/>
    <w:tmpl w:val="47BEAA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A96807"/>
    <w:multiLevelType w:val="hybridMultilevel"/>
    <w:tmpl w:val="2E560F36"/>
    <w:lvl w:ilvl="0" w:tplc="108C1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D3897"/>
    <w:multiLevelType w:val="hybridMultilevel"/>
    <w:tmpl w:val="E1B0A88A"/>
    <w:lvl w:ilvl="0" w:tplc="8E4A3D10">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82699608">
    <w:abstractNumId w:val="9"/>
  </w:num>
  <w:num w:numId="2" w16cid:durableId="1490753924">
    <w:abstractNumId w:val="25"/>
  </w:num>
  <w:num w:numId="3" w16cid:durableId="1979725517">
    <w:abstractNumId w:val="5"/>
  </w:num>
  <w:num w:numId="4" w16cid:durableId="1919316860">
    <w:abstractNumId w:val="0"/>
  </w:num>
  <w:num w:numId="5" w16cid:durableId="1829976978">
    <w:abstractNumId w:val="28"/>
  </w:num>
  <w:num w:numId="6" w16cid:durableId="2060588583">
    <w:abstractNumId w:val="16"/>
  </w:num>
  <w:num w:numId="7" w16cid:durableId="1753774306">
    <w:abstractNumId w:val="2"/>
  </w:num>
  <w:num w:numId="8" w16cid:durableId="1363553046">
    <w:abstractNumId w:val="23"/>
  </w:num>
  <w:num w:numId="9" w16cid:durableId="2019579671">
    <w:abstractNumId w:val="27"/>
  </w:num>
  <w:num w:numId="10" w16cid:durableId="1928415287">
    <w:abstractNumId w:val="6"/>
  </w:num>
  <w:num w:numId="11" w16cid:durableId="2067215121">
    <w:abstractNumId w:val="13"/>
  </w:num>
  <w:num w:numId="12" w16cid:durableId="1094590892">
    <w:abstractNumId w:val="33"/>
  </w:num>
  <w:num w:numId="13" w16cid:durableId="699547642">
    <w:abstractNumId w:val="3"/>
  </w:num>
  <w:num w:numId="14" w16cid:durableId="2108647164">
    <w:abstractNumId w:val="18"/>
  </w:num>
  <w:num w:numId="15" w16cid:durableId="1319308632">
    <w:abstractNumId w:val="15"/>
  </w:num>
  <w:num w:numId="16" w16cid:durableId="377318615">
    <w:abstractNumId w:val="24"/>
  </w:num>
  <w:num w:numId="17" w16cid:durableId="397244494">
    <w:abstractNumId w:val="22"/>
  </w:num>
  <w:num w:numId="18" w16cid:durableId="834492689">
    <w:abstractNumId w:val="12"/>
  </w:num>
  <w:num w:numId="19" w16cid:durableId="788669510">
    <w:abstractNumId w:val="29"/>
  </w:num>
  <w:num w:numId="20" w16cid:durableId="362681542">
    <w:abstractNumId w:val="20"/>
  </w:num>
  <w:num w:numId="21" w16cid:durableId="2100786557">
    <w:abstractNumId w:val="11"/>
  </w:num>
  <w:num w:numId="22" w16cid:durableId="8994503">
    <w:abstractNumId w:val="32"/>
  </w:num>
  <w:num w:numId="23" w16cid:durableId="118838855">
    <w:abstractNumId w:val="17"/>
  </w:num>
  <w:num w:numId="24" w16cid:durableId="494997909">
    <w:abstractNumId w:val="26"/>
  </w:num>
  <w:num w:numId="25" w16cid:durableId="1202671592">
    <w:abstractNumId w:val="30"/>
  </w:num>
  <w:num w:numId="26" w16cid:durableId="937717930">
    <w:abstractNumId w:val="1"/>
  </w:num>
  <w:num w:numId="27" w16cid:durableId="144668386">
    <w:abstractNumId w:val="8"/>
  </w:num>
  <w:num w:numId="28" w16cid:durableId="210194532">
    <w:abstractNumId w:val="19"/>
  </w:num>
  <w:num w:numId="29" w16cid:durableId="1223979445">
    <w:abstractNumId w:val="21"/>
  </w:num>
  <w:num w:numId="30" w16cid:durableId="2142652721">
    <w:abstractNumId w:val="7"/>
  </w:num>
  <w:num w:numId="31" w16cid:durableId="450713791">
    <w:abstractNumId w:val="31"/>
  </w:num>
  <w:num w:numId="32" w16cid:durableId="1464618072">
    <w:abstractNumId w:val="4"/>
  </w:num>
  <w:num w:numId="33" w16cid:durableId="403377141">
    <w:abstractNumId w:val="14"/>
  </w:num>
  <w:num w:numId="34" w16cid:durableId="1695030651">
    <w:abstractNumId w:val="10"/>
  </w:num>
  <w:num w:numId="35" w16cid:durableId="1071392013">
    <w:abstractNumId w:val="14"/>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43"/>
    <w:rsid w:val="00004036"/>
    <w:rsid w:val="000271F3"/>
    <w:rsid w:val="00061886"/>
    <w:rsid w:val="000633CD"/>
    <w:rsid w:val="0007644F"/>
    <w:rsid w:val="000804AC"/>
    <w:rsid w:val="000B2163"/>
    <w:rsid w:val="000D0AA7"/>
    <w:rsid w:val="000E1672"/>
    <w:rsid w:val="000F5E97"/>
    <w:rsid w:val="00142BFA"/>
    <w:rsid w:val="00170FE7"/>
    <w:rsid w:val="00191B9F"/>
    <w:rsid w:val="001C59BD"/>
    <w:rsid w:val="001C5C17"/>
    <w:rsid w:val="001E3DD9"/>
    <w:rsid w:val="001F16D5"/>
    <w:rsid w:val="00205E9B"/>
    <w:rsid w:val="00210B1E"/>
    <w:rsid w:val="002458AB"/>
    <w:rsid w:val="00263D4A"/>
    <w:rsid w:val="002A76E7"/>
    <w:rsid w:val="002B0C4A"/>
    <w:rsid w:val="002D5E1A"/>
    <w:rsid w:val="002F4AFD"/>
    <w:rsid w:val="00392BC2"/>
    <w:rsid w:val="00393D44"/>
    <w:rsid w:val="00405BC9"/>
    <w:rsid w:val="00406800"/>
    <w:rsid w:val="00416D94"/>
    <w:rsid w:val="00422E8A"/>
    <w:rsid w:val="00431D62"/>
    <w:rsid w:val="00437D38"/>
    <w:rsid w:val="00456312"/>
    <w:rsid w:val="004679D2"/>
    <w:rsid w:val="00476D60"/>
    <w:rsid w:val="004A4C87"/>
    <w:rsid w:val="004B7371"/>
    <w:rsid w:val="004C6C2C"/>
    <w:rsid w:val="004D1A53"/>
    <w:rsid w:val="00543BA7"/>
    <w:rsid w:val="005475AC"/>
    <w:rsid w:val="00553981"/>
    <w:rsid w:val="00565580"/>
    <w:rsid w:val="005676C3"/>
    <w:rsid w:val="005706BB"/>
    <w:rsid w:val="0057785E"/>
    <w:rsid w:val="00582500"/>
    <w:rsid w:val="005A087F"/>
    <w:rsid w:val="005D7378"/>
    <w:rsid w:val="005F7338"/>
    <w:rsid w:val="00615C62"/>
    <w:rsid w:val="00624E76"/>
    <w:rsid w:val="00643E6D"/>
    <w:rsid w:val="00653BF9"/>
    <w:rsid w:val="006B388A"/>
    <w:rsid w:val="006D053F"/>
    <w:rsid w:val="006D6000"/>
    <w:rsid w:val="006D6FC9"/>
    <w:rsid w:val="007446F4"/>
    <w:rsid w:val="00755C4B"/>
    <w:rsid w:val="00774473"/>
    <w:rsid w:val="0078752D"/>
    <w:rsid w:val="00793D77"/>
    <w:rsid w:val="007C3E0A"/>
    <w:rsid w:val="007D2534"/>
    <w:rsid w:val="007D3CB6"/>
    <w:rsid w:val="007F7A2C"/>
    <w:rsid w:val="008055F3"/>
    <w:rsid w:val="0084352F"/>
    <w:rsid w:val="008A17DD"/>
    <w:rsid w:val="008A5300"/>
    <w:rsid w:val="008E7694"/>
    <w:rsid w:val="008F7957"/>
    <w:rsid w:val="00920C35"/>
    <w:rsid w:val="0094213E"/>
    <w:rsid w:val="009535ED"/>
    <w:rsid w:val="0096003E"/>
    <w:rsid w:val="00975B4D"/>
    <w:rsid w:val="0098697D"/>
    <w:rsid w:val="009B31F0"/>
    <w:rsid w:val="009D1227"/>
    <w:rsid w:val="009D48F4"/>
    <w:rsid w:val="009E63BB"/>
    <w:rsid w:val="009E763E"/>
    <w:rsid w:val="00A117BD"/>
    <w:rsid w:val="00A13C37"/>
    <w:rsid w:val="00A31081"/>
    <w:rsid w:val="00A32ABF"/>
    <w:rsid w:val="00A54ABE"/>
    <w:rsid w:val="00A61C24"/>
    <w:rsid w:val="00B239C7"/>
    <w:rsid w:val="00C63140"/>
    <w:rsid w:val="00C641A6"/>
    <w:rsid w:val="00C9753B"/>
    <w:rsid w:val="00CE00C1"/>
    <w:rsid w:val="00CE26F5"/>
    <w:rsid w:val="00CE2DEF"/>
    <w:rsid w:val="00CF054D"/>
    <w:rsid w:val="00CF49DA"/>
    <w:rsid w:val="00D11D1B"/>
    <w:rsid w:val="00D419C1"/>
    <w:rsid w:val="00D420E1"/>
    <w:rsid w:val="00D4304D"/>
    <w:rsid w:val="00D67FEA"/>
    <w:rsid w:val="00D72843"/>
    <w:rsid w:val="00D75395"/>
    <w:rsid w:val="00D973EF"/>
    <w:rsid w:val="00DE6F3B"/>
    <w:rsid w:val="00DF67FC"/>
    <w:rsid w:val="00E26D13"/>
    <w:rsid w:val="00E453C8"/>
    <w:rsid w:val="00E609B2"/>
    <w:rsid w:val="00E82622"/>
    <w:rsid w:val="00E950CB"/>
    <w:rsid w:val="00EE349A"/>
    <w:rsid w:val="00F15563"/>
    <w:rsid w:val="00F218FC"/>
    <w:rsid w:val="00F23C44"/>
    <w:rsid w:val="00F5287C"/>
    <w:rsid w:val="00F54003"/>
    <w:rsid w:val="00F551DF"/>
    <w:rsid w:val="00F60A7D"/>
    <w:rsid w:val="00F74233"/>
    <w:rsid w:val="00F823EE"/>
    <w:rsid w:val="00F825D5"/>
    <w:rsid w:val="00FA24B3"/>
    <w:rsid w:val="00FA642B"/>
    <w:rsid w:val="00FE044A"/>
    <w:rsid w:val="00FE59EC"/>
    <w:rsid w:val="00FF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2372"/>
  <w15:chartTrackingRefBased/>
  <w15:docId w15:val="{72C51726-3A10-4222-9CFB-C7512573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2843"/>
    <w:pPr>
      <w:keepNext/>
      <w:spacing w:before="240" w:after="60" w:line="240" w:lineRule="auto"/>
      <w:ind w:left="1080"/>
      <w:outlineLvl w:val="0"/>
    </w:pPr>
    <w:rPr>
      <w:rFonts w:ascii="Arial" w:eastAsia="Times New Roman" w:hAnsi="Arial" w:cs="Arial"/>
      <w:b/>
      <w:bCs/>
      <w:spacing w:val="-5"/>
      <w:kern w:val="32"/>
      <w:sz w:val="32"/>
      <w:szCs w:val="32"/>
      <w:lang w:val="en-GB"/>
    </w:rPr>
  </w:style>
  <w:style w:type="paragraph" w:styleId="Heading2">
    <w:name w:val="heading 2"/>
    <w:basedOn w:val="Normal"/>
    <w:next w:val="Normal"/>
    <w:link w:val="Heading2Char"/>
    <w:qFormat/>
    <w:rsid w:val="00D72843"/>
    <w:pPr>
      <w:keepNext/>
      <w:spacing w:after="0" w:line="240" w:lineRule="auto"/>
      <w:outlineLvl w:val="1"/>
    </w:pPr>
    <w:rPr>
      <w:rFonts w:ascii="Arial" w:eastAsia="Times New Roman" w:hAnsi="Arial" w:cs="Times New Roman"/>
      <w:spacing w:val="-5"/>
      <w:sz w:val="20"/>
      <w:szCs w:val="20"/>
      <w:u w:val="single"/>
      <w:lang w:val="en-GB"/>
    </w:rPr>
  </w:style>
  <w:style w:type="paragraph" w:styleId="Heading3">
    <w:name w:val="heading 3"/>
    <w:basedOn w:val="Normal"/>
    <w:next w:val="Normal"/>
    <w:link w:val="Heading3Char"/>
    <w:qFormat/>
    <w:rsid w:val="00D72843"/>
    <w:pPr>
      <w:keepNext/>
      <w:numPr>
        <w:numId w:val="1"/>
      </w:numPr>
      <w:spacing w:after="0" w:line="240" w:lineRule="auto"/>
      <w:outlineLvl w:val="2"/>
    </w:pPr>
    <w:rPr>
      <w:rFonts w:ascii="Arial" w:eastAsia="Times New Roman" w:hAnsi="Arial" w:cs="Times New Roman"/>
      <w:b/>
      <w:bCs/>
      <w:spacing w:val="-5"/>
      <w:sz w:val="20"/>
      <w:szCs w:val="20"/>
      <w:lang w:val="en-GB"/>
    </w:rPr>
  </w:style>
  <w:style w:type="paragraph" w:styleId="Heading4">
    <w:name w:val="heading 4"/>
    <w:basedOn w:val="Normal"/>
    <w:next w:val="Normal"/>
    <w:link w:val="Heading4Char"/>
    <w:qFormat/>
    <w:rsid w:val="00D72843"/>
    <w:pPr>
      <w:keepNext/>
      <w:spacing w:after="0" w:line="240" w:lineRule="auto"/>
      <w:outlineLvl w:val="3"/>
    </w:pPr>
    <w:rPr>
      <w:rFonts w:ascii="Arial" w:eastAsia="Times New Roman" w:hAnsi="Arial" w:cs="Times New Roman"/>
      <w:b/>
      <w:bCs/>
      <w:spacing w:val="-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843"/>
    <w:rPr>
      <w:rFonts w:ascii="Arial" w:eastAsia="Times New Roman" w:hAnsi="Arial" w:cs="Arial"/>
      <w:b/>
      <w:bCs/>
      <w:spacing w:val="-5"/>
      <w:kern w:val="32"/>
      <w:sz w:val="32"/>
      <w:szCs w:val="32"/>
      <w:lang w:val="en-GB"/>
    </w:rPr>
  </w:style>
  <w:style w:type="character" w:customStyle="1" w:styleId="Heading2Char">
    <w:name w:val="Heading 2 Char"/>
    <w:basedOn w:val="DefaultParagraphFont"/>
    <w:link w:val="Heading2"/>
    <w:rsid w:val="00D72843"/>
    <w:rPr>
      <w:rFonts w:ascii="Arial" w:eastAsia="Times New Roman" w:hAnsi="Arial" w:cs="Times New Roman"/>
      <w:spacing w:val="-5"/>
      <w:sz w:val="20"/>
      <w:szCs w:val="20"/>
      <w:u w:val="single"/>
      <w:lang w:val="en-GB"/>
    </w:rPr>
  </w:style>
  <w:style w:type="character" w:customStyle="1" w:styleId="Heading3Char">
    <w:name w:val="Heading 3 Char"/>
    <w:basedOn w:val="DefaultParagraphFont"/>
    <w:link w:val="Heading3"/>
    <w:rsid w:val="00D72843"/>
    <w:rPr>
      <w:rFonts w:ascii="Arial" w:eastAsia="Times New Roman" w:hAnsi="Arial" w:cs="Times New Roman"/>
      <w:b/>
      <w:bCs/>
      <w:spacing w:val="-5"/>
      <w:sz w:val="20"/>
      <w:szCs w:val="20"/>
      <w:lang w:val="en-GB"/>
    </w:rPr>
  </w:style>
  <w:style w:type="character" w:customStyle="1" w:styleId="Heading4Char">
    <w:name w:val="Heading 4 Char"/>
    <w:basedOn w:val="DefaultParagraphFont"/>
    <w:link w:val="Heading4"/>
    <w:rsid w:val="00D72843"/>
    <w:rPr>
      <w:rFonts w:ascii="Arial" w:eastAsia="Times New Roman" w:hAnsi="Arial" w:cs="Times New Roman"/>
      <w:b/>
      <w:bCs/>
      <w:spacing w:val="-5"/>
      <w:sz w:val="20"/>
      <w:szCs w:val="20"/>
      <w:lang w:val="en-GB"/>
    </w:rPr>
  </w:style>
  <w:style w:type="numbering" w:customStyle="1" w:styleId="NoList1">
    <w:name w:val="No List1"/>
    <w:next w:val="NoList"/>
    <w:uiPriority w:val="99"/>
    <w:semiHidden/>
    <w:unhideWhenUsed/>
    <w:rsid w:val="00D72843"/>
  </w:style>
  <w:style w:type="paragraph" w:customStyle="1" w:styleId="CompanyName">
    <w:name w:val="Company Name"/>
    <w:basedOn w:val="Normal"/>
    <w:rsid w:val="00D72843"/>
    <w:pPr>
      <w:keepNext/>
      <w:keepLines/>
      <w:spacing w:after="0" w:line="220" w:lineRule="atLeast"/>
    </w:pPr>
    <w:rPr>
      <w:rFonts w:ascii="Arial Black" w:eastAsia="Times New Roman" w:hAnsi="Arial Black" w:cs="Times New Roman"/>
      <w:spacing w:val="-25"/>
      <w:kern w:val="28"/>
      <w:sz w:val="32"/>
      <w:szCs w:val="20"/>
      <w:lang w:val="en-GB"/>
    </w:rPr>
  </w:style>
  <w:style w:type="paragraph" w:customStyle="1" w:styleId="TitleCover">
    <w:name w:val="Title Cover"/>
    <w:basedOn w:val="Normal"/>
    <w:next w:val="Normal"/>
    <w:rsid w:val="00D72843"/>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lang w:val="en-GB"/>
    </w:rPr>
  </w:style>
  <w:style w:type="paragraph" w:customStyle="1" w:styleId="ReturnAddress">
    <w:name w:val="Return Address"/>
    <w:basedOn w:val="Normal"/>
    <w:rsid w:val="00D72843"/>
    <w:pPr>
      <w:keepLines/>
      <w:framePr w:w="5160" w:h="840" w:wrap="notBeside" w:vAnchor="page" w:hAnchor="page" w:x="6121" w:y="915" w:anchorLock="1"/>
      <w:tabs>
        <w:tab w:val="left" w:pos="2160"/>
      </w:tabs>
      <w:spacing w:after="0" w:line="160" w:lineRule="atLeast"/>
    </w:pPr>
    <w:rPr>
      <w:rFonts w:ascii="Arial" w:eastAsia="Times New Roman" w:hAnsi="Arial" w:cs="Times New Roman"/>
      <w:sz w:val="14"/>
      <w:szCs w:val="20"/>
      <w:lang w:val="en-GB"/>
    </w:rPr>
  </w:style>
  <w:style w:type="paragraph" w:customStyle="1" w:styleId="SubtitleCover">
    <w:name w:val="Subtitle Cover"/>
    <w:basedOn w:val="TitleCover"/>
    <w:next w:val="BodyText"/>
    <w:rsid w:val="00D72843"/>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link w:val="BodyTextChar"/>
    <w:rsid w:val="00D72843"/>
    <w:pPr>
      <w:spacing w:after="120" w:line="240" w:lineRule="auto"/>
      <w:ind w:left="1080"/>
    </w:pPr>
    <w:rPr>
      <w:rFonts w:ascii="Arial" w:eastAsia="Times New Roman" w:hAnsi="Arial" w:cs="Times New Roman"/>
      <w:spacing w:val="-5"/>
      <w:sz w:val="20"/>
      <w:szCs w:val="20"/>
      <w:lang w:val="en-GB"/>
    </w:rPr>
  </w:style>
  <w:style w:type="character" w:customStyle="1" w:styleId="BodyTextChar">
    <w:name w:val="Body Text Char"/>
    <w:basedOn w:val="DefaultParagraphFont"/>
    <w:link w:val="BodyText"/>
    <w:rsid w:val="00D72843"/>
    <w:rPr>
      <w:rFonts w:ascii="Arial" w:eastAsia="Times New Roman" w:hAnsi="Arial" w:cs="Times New Roman"/>
      <w:spacing w:val="-5"/>
      <w:sz w:val="20"/>
      <w:szCs w:val="20"/>
      <w:lang w:val="en-GB"/>
    </w:rPr>
  </w:style>
  <w:style w:type="paragraph" w:styleId="BalloonText">
    <w:name w:val="Balloon Text"/>
    <w:basedOn w:val="Normal"/>
    <w:link w:val="BalloonTextChar"/>
    <w:semiHidden/>
    <w:rsid w:val="00D72843"/>
    <w:pPr>
      <w:spacing w:after="0" w:line="240" w:lineRule="auto"/>
      <w:ind w:left="1080"/>
    </w:pPr>
    <w:rPr>
      <w:rFonts w:ascii="Tahoma" w:eastAsia="Times New Roman" w:hAnsi="Tahoma" w:cs="Tahoma"/>
      <w:spacing w:val="-5"/>
      <w:sz w:val="16"/>
      <w:szCs w:val="16"/>
      <w:lang w:val="en-GB"/>
    </w:rPr>
  </w:style>
  <w:style w:type="character" w:customStyle="1" w:styleId="BalloonTextChar">
    <w:name w:val="Balloon Text Char"/>
    <w:basedOn w:val="DefaultParagraphFont"/>
    <w:link w:val="BalloonText"/>
    <w:semiHidden/>
    <w:rsid w:val="00D72843"/>
    <w:rPr>
      <w:rFonts w:ascii="Tahoma" w:eastAsia="Times New Roman" w:hAnsi="Tahoma" w:cs="Tahoma"/>
      <w:spacing w:val="-5"/>
      <w:sz w:val="16"/>
      <w:szCs w:val="16"/>
      <w:lang w:val="en-GB"/>
    </w:rPr>
  </w:style>
  <w:style w:type="paragraph" w:styleId="Footer">
    <w:name w:val="footer"/>
    <w:basedOn w:val="Normal"/>
    <w:link w:val="FooterChar"/>
    <w:uiPriority w:val="99"/>
    <w:rsid w:val="00D72843"/>
    <w:pPr>
      <w:tabs>
        <w:tab w:val="center" w:pos="4320"/>
        <w:tab w:val="right" w:pos="8640"/>
      </w:tabs>
      <w:spacing w:after="0" w:line="240" w:lineRule="auto"/>
      <w:ind w:left="1080"/>
    </w:pPr>
    <w:rPr>
      <w:rFonts w:ascii="Arial" w:eastAsia="Times New Roman" w:hAnsi="Arial" w:cs="Times New Roman"/>
      <w:spacing w:val="-5"/>
      <w:sz w:val="20"/>
      <w:szCs w:val="20"/>
      <w:lang w:val="x-none"/>
    </w:rPr>
  </w:style>
  <w:style w:type="character" w:customStyle="1" w:styleId="FooterChar">
    <w:name w:val="Footer Char"/>
    <w:basedOn w:val="DefaultParagraphFont"/>
    <w:link w:val="Footer"/>
    <w:uiPriority w:val="99"/>
    <w:rsid w:val="00D72843"/>
    <w:rPr>
      <w:rFonts w:ascii="Arial" w:eastAsia="Times New Roman" w:hAnsi="Arial" w:cs="Times New Roman"/>
      <w:spacing w:val="-5"/>
      <w:sz w:val="20"/>
      <w:szCs w:val="20"/>
      <w:lang w:val="x-none"/>
    </w:rPr>
  </w:style>
  <w:style w:type="character" w:styleId="PageNumber">
    <w:name w:val="page number"/>
    <w:basedOn w:val="DefaultParagraphFont"/>
    <w:rsid w:val="00D72843"/>
  </w:style>
  <w:style w:type="character" w:styleId="Hyperlink">
    <w:name w:val="Hyperlink"/>
    <w:rsid w:val="00D72843"/>
    <w:rPr>
      <w:color w:val="0000FF"/>
      <w:u w:val="single"/>
    </w:rPr>
  </w:style>
  <w:style w:type="paragraph" w:styleId="BodyTextIndent">
    <w:name w:val="Body Text Indent"/>
    <w:basedOn w:val="Normal"/>
    <w:link w:val="BodyTextIndentChar"/>
    <w:rsid w:val="00D72843"/>
    <w:pPr>
      <w:spacing w:after="0" w:line="240" w:lineRule="auto"/>
      <w:ind w:left="720" w:hanging="720"/>
    </w:pPr>
    <w:rPr>
      <w:rFonts w:ascii="Arial" w:eastAsia="Times New Roman" w:hAnsi="Arial" w:cs="Times New Roman"/>
      <w:spacing w:val="-5"/>
      <w:sz w:val="20"/>
      <w:szCs w:val="20"/>
      <w:lang w:val="en-GB"/>
    </w:rPr>
  </w:style>
  <w:style w:type="character" w:customStyle="1" w:styleId="BodyTextIndentChar">
    <w:name w:val="Body Text Indent Char"/>
    <w:basedOn w:val="DefaultParagraphFont"/>
    <w:link w:val="BodyTextIndent"/>
    <w:rsid w:val="00D72843"/>
    <w:rPr>
      <w:rFonts w:ascii="Arial" w:eastAsia="Times New Roman" w:hAnsi="Arial" w:cs="Times New Roman"/>
      <w:spacing w:val="-5"/>
      <w:sz w:val="20"/>
      <w:szCs w:val="20"/>
      <w:lang w:val="en-GB"/>
    </w:rPr>
  </w:style>
  <w:style w:type="paragraph" w:styleId="Header">
    <w:name w:val="header"/>
    <w:basedOn w:val="Normal"/>
    <w:link w:val="HeaderChar"/>
    <w:rsid w:val="00D72843"/>
    <w:pPr>
      <w:tabs>
        <w:tab w:val="center" w:pos="4320"/>
        <w:tab w:val="right" w:pos="8640"/>
      </w:tabs>
      <w:spacing w:after="0" w:line="240" w:lineRule="auto"/>
      <w:ind w:left="1080"/>
    </w:pPr>
    <w:rPr>
      <w:rFonts w:ascii="Arial" w:eastAsia="Times New Roman" w:hAnsi="Arial" w:cs="Times New Roman"/>
      <w:spacing w:val="-5"/>
      <w:sz w:val="20"/>
      <w:szCs w:val="20"/>
      <w:lang w:val="en-GB"/>
    </w:rPr>
  </w:style>
  <w:style w:type="character" w:customStyle="1" w:styleId="HeaderChar">
    <w:name w:val="Header Char"/>
    <w:basedOn w:val="DefaultParagraphFont"/>
    <w:link w:val="Header"/>
    <w:rsid w:val="00D72843"/>
    <w:rPr>
      <w:rFonts w:ascii="Arial" w:eastAsia="Times New Roman" w:hAnsi="Arial" w:cs="Times New Roman"/>
      <w:spacing w:val="-5"/>
      <w:sz w:val="20"/>
      <w:szCs w:val="20"/>
      <w:lang w:val="en-GB"/>
    </w:rPr>
  </w:style>
  <w:style w:type="character" w:styleId="CommentReference">
    <w:name w:val="annotation reference"/>
    <w:rsid w:val="00D72843"/>
    <w:rPr>
      <w:sz w:val="16"/>
      <w:szCs w:val="16"/>
    </w:rPr>
  </w:style>
  <w:style w:type="paragraph" w:styleId="CommentText">
    <w:name w:val="annotation text"/>
    <w:basedOn w:val="Normal"/>
    <w:link w:val="CommentTextChar"/>
    <w:rsid w:val="00D72843"/>
    <w:pPr>
      <w:spacing w:after="0" w:line="240" w:lineRule="auto"/>
      <w:ind w:left="1080"/>
    </w:pPr>
    <w:rPr>
      <w:rFonts w:ascii="Arial" w:eastAsia="Times New Roman" w:hAnsi="Arial" w:cs="Times New Roman"/>
      <w:spacing w:val="-5"/>
      <w:sz w:val="20"/>
      <w:szCs w:val="20"/>
      <w:lang w:val="x-none"/>
    </w:rPr>
  </w:style>
  <w:style w:type="character" w:customStyle="1" w:styleId="CommentTextChar">
    <w:name w:val="Comment Text Char"/>
    <w:basedOn w:val="DefaultParagraphFont"/>
    <w:link w:val="CommentText"/>
    <w:rsid w:val="00D72843"/>
    <w:rPr>
      <w:rFonts w:ascii="Arial" w:eastAsia="Times New Roman" w:hAnsi="Arial" w:cs="Times New Roman"/>
      <w:spacing w:val="-5"/>
      <w:sz w:val="20"/>
      <w:szCs w:val="20"/>
      <w:lang w:val="x-none"/>
    </w:rPr>
  </w:style>
  <w:style w:type="paragraph" w:styleId="CommentSubject">
    <w:name w:val="annotation subject"/>
    <w:basedOn w:val="CommentText"/>
    <w:next w:val="CommentText"/>
    <w:link w:val="CommentSubjectChar"/>
    <w:rsid w:val="00D72843"/>
    <w:rPr>
      <w:b/>
      <w:bCs/>
    </w:rPr>
  </w:style>
  <w:style w:type="character" w:customStyle="1" w:styleId="CommentSubjectChar">
    <w:name w:val="Comment Subject Char"/>
    <w:basedOn w:val="CommentTextChar"/>
    <w:link w:val="CommentSubject"/>
    <w:rsid w:val="00D72843"/>
    <w:rPr>
      <w:rFonts w:ascii="Arial" w:eastAsia="Times New Roman" w:hAnsi="Arial" w:cs="Times New Roman"/>
      <w:b/>
      <w:bCs/>
      <w:spacing w:val="-5"/>
      <w:sz w:val="20"/>
      <w:szCs w:val="20"/>
      <w:lang w:val="x-none"/>
    </w:rPr>
  </w:style>
  <w:style w:type="paragraph" w:styleId="ListParagraph">
    <w:name w:val="List Paragraph"/>
    <w:basedOn w:val="Normal"/>
    <w:link w:val="ListParagraphChar"/>
    <w:autoRedefine/>
    <w:uiPriority w:val="34"/>
    <w:qFormat/>
    <w:rsid w:val="00D72843"/>
    <w:pPr>
      <w:numPr>
        <w:numId w:val="19"/>
      </w:numPr>
      <w:spacing w:after="200" w:line="240" w:lineRule="auto"/>
      <w:contextualSpacing/>
    </w:pPr>
    <w:rPr>
      <w:rFonts w:ascii="Calibri" w:eastAsia="Calibri" w:hAnsi="Calibri" w:cs="Times New Roman"/>
      <w:b/>
      <w:sz w:val="28"/>
      <w:szCs w:val="28"/>
    </w:rPr>
  </w:style>
  <w:style w:type="table" w:styleId="TableGrid">
    <w:name w:val="Table Grid"/>
    <w:basedOn w:val="TableNormal"/>
    <w:uiPriority w:val="39"/>
    <w:rsid w:val="00D72843"/>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2843"/>
    <w:pPr>
      <w:spacing w:after="0" w:line="240" w:lineRule="auto"/>
    </w:pPr>
    <w:rPr>
      <w:rFonts w:ascii="Arial" w:eastAsia="Times New Roman" w:hAnsi="Arial" w:cs="Times New Roman"/>
      <w:spacing w:val="-5"/>
      <w:sz w:val="20"/>
      <w:szCs w:val="20"/>
      <w:lang w:val="en-GB"/>
    </w:rPr>
  </w:style>
  <w:style w:type="paragraph" w:styleId="BodyTextIndent3">
    <w:name w:val="Body Text Indent 3"/>
    <w:basedOn w:val="Normal"/>
    <w:link w:val="BodyTextIndent3Char"/>
    <w:rsid w:val="00D72843"/>
    <w:pPr>
      <w:spacing w:after="120" w:line="240" w:lineRule="auto"/>
      <w:ind w:left="360"/>
    </w:pPr>
    <w:rPr>
      <w:rFonts w:ascii="Arial" w:eastAsia="Times New Roman" w:hAnsi="Arial" w:cs="Times New Roman"/>
      <w:spacing w:val="-5"/>
      <w:sz w:val="16"/>
      <w:szCs w:val="16"/>
      <w:lang w:val="en-GB" w:eastAsia="x-none"/>
    </w:rPr>
  </w:style>
  <w:style w:type="character" w:customStyle="1" w:styleId="BodyTextIndent3Char">
    <w:name w:val="Body Text Indent 3 Char"/>
    <w:basedOn w:val="DefaultParagraphFont"/>
    <w:link w:val="BodyTextIndent3"/>
    <w:rsid w:val="00D72843"/>
    <w:rPr>
      <w:rFonts w:ascii="Arial" w:eastAsia="Times New Roman" w:hAnsi="Arial" w:cs="Times New Roman"/>
      <w:spacing w:val="-5"/>
      <w:sz w:val="16"/>
      <w:szCs w:val="16"/>
      <w:lang w:val="en-GB" w:eastAsia="x-none"/>
    </w:rPr>
  </w:style>
  <w:style w:type="paragraph" w:styleId="EndnoteText">
    <w:name w:val="endnote text"/>
    <w:basedOn w:val="Normal"/>
    <w:link w:val="EndnoteTextChar"/>
    <w:rsid w:val="00D72843"/>
    <w:pPr>
      <w:spacing w:after="0" w:line="240" w:lineRule="auto"/>
      <w:ind w:left="1080"/>
    </w:pPr>
    <w:rPr>
      <w:rFonts w:ascii="Arial" w:eastAsia="Times New Roman" w:hAnsi="Arial" w:cs="Times New Roman"/>
      <w:spacing w:val="-5"/>
      <w:sz w:val="20"/>
      <w:szCs w:val="20"/>
      <w:lang w:val="x-none"/>
    </w:rPr>
  </w:style>
  <w:style w:type="character" w:customStyle="1" w:styleId="EndnoteTextChar">
    <w:name w:val="Endnote Text Char"/>
    <w:basedOn w:val="DefaultParagraphFont"/>
    <w:link w:val="EndnoteText"/>
    <w:rsid w:val="00D72843"/>
    <w:rPr>
      <w:rFonts w:ascii="Arial" w:eastAsia="Times New Roman" w:hAnsi="Arial" w:cs="Times New Roman"/>
      <w:spacing w:val="-5"/>
      <w:sz w:val="20"/>
      <w:szCs w:val="20"/>
      <w:lang w:val="x-none"/>
    </w:rPr>
  </w:style>
  <w:style w:type="character" w:styleId="EndnoteReference">
    <w:name w:val="endnote reference"/>
    <w:rsid w:val="00D72843"/>
    <w:rPr>
      <w:vertAlign w:val="superscript"/>
    </w:rPr>
  </w:style>
  <w:style w:type="paragraph" w:styleId="FootnoteText">
    <w:name w:val="footnote text"/>
    <w:basedOn w:val="Normal"/>
    <w:link w:val="FootnoteTextChar"/>
    <w:uiPriority w:val="99"/>
    <w:rsid w:val="00D72843"/>
    <w:pPr>
      <w:spacing w:after="0" w:line="240" w:lineRule="auto"/>
      <w:ind w:left="1080"/>
    </w:pPr>
    <w:rPr>
      <w:rFonts w:ascii="Arial" w:eastAsia="Times New Roman" w:hAnsi="Arial" w:cs="Times New Roman"/>
      <w:spacing w:val="-5"/>
      <w:sz w:val="20"/>
      <w:szCs w:val="20"/>
      <w:lang w:val="x-none"/>
    </w:rPr>
  </w:style>
  <w:style w:type="character" w:customStyle="1" w:styleId="FootnoteTextChar">
    <w:name w:val="Footnote Text Char"/>
    <w:basedOn w:val="DefaultParagraphFont"/>
    <w:link w:val="FootnoteText"/>
    <w:uiPriority w:val="99"/>
    <w:rsid w:val="00D72843"/>
    <w:rPr>
      <w:rFonts w:ascii="Arial" w:eastAsia="Times New Roman" w:hAnsi="Arial" w:cs="Times New Roman"/>
      <w:spacing w:val="-5"/>
      <w:sz w:val="20"/>
      <w:szCs w:val="20"/>
      <w:lang w:val="x-none"/>
    </w:rPr>
  </w:style>
  <w:style w:type="character" w:styleId="FootnoteReference">
    <w:name w:val="footnote reference"/>
    <w:uiPriority w:val="99"/>
    <w:rsid w:val="00D72843"/>
    <w:rPr>
      <w:vertAlign w:val="superscript"/>
    </w:rPr>
  </w:style>
  <w:style w:type="paragraph" w:customStyle="1" w:styleId="StyleLeft0cmHanging1cmBefore6ptAfter6pt">
    <w:name w:val="Style Left:  0 cm Hanging:  1 cm Before:  6 pt After:  6 pt"/>
    <w:basedOn w:val="Normal"/>
    <w:uiPriority w:val="99"/>
    <w:rsid w:val="00D72843"/>
    <w:pPr>
      <w:spacing w:before="120" w:after="60" w:line="240" w:lineRule="auto"/>
      <w:ind w:left="567" w:hanging="567"/>
    </w:pPr>
    <w:rPr>
      <w:rFonts w:ascii="Times New Roman" w:eastAsia="Times New Roman" w:hAnsi="Times New Roman" w:cs="Times New Roman"/>
      <w:sz w:val="24"/>
      <w:szCs w:val="24"/>
    </w:rPr>
  </w:style>
  <w:style w:type="character" w:customStyle="1" w:styleId="st">
    <w:name w:val="st"/>
    <w:rsid w:val="00D72843"/>
  </w:style>
  <w:style w:type="paragraph" w:customStyle="1" w:styleId="LhAddr">
    <w:name w:val="Lh Addr"/>
    <w:basedOn w:val="Normal"/>
    <w:uiPriority w:val="99"/>
    <w:rsid w:val="00D72843"/>
    <w:pPr>
      <w:widowControl w:val="0"/>
      <w:suppressAutoHyphens/>
      <w:autoSpaceDE w:val="0"/>
      <w:autoSpaceDN w:val="0"/>
      <w:adjustRightInd w:val="0"/>
      <w:spacing w:after="170" w:line="190" w:lineRule="atLeast"/>
      <w:jc w:val="right"/>
      <w:textAlignment w:val="center"/>
    </w:pPr>
    <w:rPr>
      <w:rFonts w:ascii="Candara" w:eastAsia="Cambria" w:hAnsi="Candara" w:cs="Candara"/>
      <w:color w:val="23666A"/>
      <w:sz w:val="17"/>
      <w:szCs w:val="17"/>
      <w:lang w:val="en-GB"/>
    </w:rPr>
  </w:style>
  <w:style w:type="character" w:customStyle="1" w:styleId="TFEMW">
    <w:name w:val="TFEMW"/>
    <w:uiPriority w:val="99"/>
    <w:rsid w:val="00D72843"/>
    <w:rPr>
      <w:rFonts w:ascii="MyriadPro-BlackSemiExt" w:hAnsi="MyriadPro-BlackSemiExt" w:cs="MyriadPro-BlackSemiExt"/>
      <w:color w:val="23666A"/>
      <w:sz w:val="14"/>
      <w:szCs w:val="14"/>
    </w:rPr>
  </w:style>
  <w:style w:type="paragraph" w:customStyle="1" w:styleId="Default">
    <w:name w:val="Default"/>
    <w:rsid w:val="00C641A6"/>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ink w:val="ListParagraph"/>
    <w:uiPriority w:val="34"/>
    <w:rsid w:val="00553981"/>
    <w:rPr>
      <w:rFonts w:ascii="Calibri" w:eastAsia="Calibri" w:hAnsi="Calibri"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148">
      <w:bodyDiv w:val="1"/>
      <w:marLeft w:val="0"/>
      <w:marRight w:val="0"/>
      <w:marTop w:val="0"/>
      <w:marBottom w:val="0"/>
      <w:divBdr>
        <w:top w:val="none" w:sz="0" w:space="0" w:color="auto"/>
        <w:left w:val="none" w:sz="0" w:space="0" w:color="auto"/>
        <w:bottom w:val="none" w:sz="0" w:space="0" w:color="auto"/>
        <w:right w:val="none" w:sz="0" w:space="0" w:color="auto"/>
      </w:divBdr>
    </w:div>
    <w:div w:id="353769492">
      <w:bodyDiv w:val="1"/>
      <w:marLeft w:val="0"/>
      <w:marRight w:val="0"/>
      <w:marTop w:val="0"/>
      <w:marBottom w:val="0"/>
      <w:divBdr>
        <w:top w:val="none" w:sz="0" w:space="0" w:color="auto"/>
        <w:left w:val="none" w:sz="0" w:space="0" w:color="auto"/>
        <w:bottom w:val="none" w:sz="0" w:space="0" w:color="auto"/>
        <w:right w:val="none" w:sz="0" w:space="0" w:color="auto"/>
      </w:divBdr>
    </w:div>
    <w:div w:id="496266544">
      <w:bodyDiv w:val="1"/>
      <w:marLeft w:val="0"/>
      <w:marRight w:val="0"/>
      <w:marTop w:val="0"/>
      <w:marBottom w:val="0"/>
      <w:divBdr>
        <w:top w:val="none" w:sz="0" w:space="0" w:color="auto"/>
        <w:left w:val="none" w:sz="0" w:space="0" w:color="auto"/>
        <w:bottom w:val="none" w:sz="0" w:space="0" w:color="auto"/>
        <w:right w:val="none" w:sz="0" w:space="0" w:color="auto"/>
      </w:divBdr>
    </w:div>
    <w:div w:id="1282421978">
      <w:bodyDiv w:val="1"/>
      <w:marLeft w:val="0"/>
      <w:marRight w:val="0"/>
      <w:marTop w:val="0"/>
      <w:marBottom w:val="0"/>
      <w:divBdr>
        <w:top w:val="none" w:sz="0" w:space="0" w:color="auto"/>
        <w:left w:val="none" w:sz="0" w:space="0" w:color="auto"/>
        <w:bottom w:val="none" w:sz="0" w:space="0" w:color="auto"/>
        <w:right w:val="none" w:sz="0" w:space="0" w:color="auto"/>
      </w:divBdr>
    </w:div>
    <w:div w:id="1464881494">
      <w:bodyDiv w:val="1"/>
      <w:marLeft w:val="0"/>
      <w:marRight w:val="0"/>
      <w:marTop w:val="0"/>
      <w:marBottom w:val="0"/>
      <w:divBdr>
        <w:top w:val="none" w:sz="0" w:space="0" w:color="auto"/>
        <w:left w:val="none" w:sz="0" w:space="0" w:color="auto"/>
        <w:bottom w:val="none" w:sz="0" w:space="0" w:color="auto"/>
        <w:right w:val="none" w:sz="0" w:space="0" w:color="auto"/>
      </w:divBdr>
    </w:div>
    <w:div w:id="1534339342">
      <w:bodyDiv w:val="1"/>
      <w:marLeft w:val="0"/>
      <w:marRight w:val="0"/>
      <w:marTop w:val="0"/>
      <w:marBottom w:val="0"/>
      <w:divBdr>
        <w:top w:val="none" w:sz="0" w:space="0" w:color="auto"/>
        <w:left w:val="none" w:sz="0" w:space="0" w:color="auto"/>
        <w:bottom w:val="none" w:sz="0" w:space="0" w:color="auto"/>
        <w:right w:val="none" w:sz="0" w:space="0" w:color="auto"/>
      </w:divBdr>
    </w:div>
    <w:div w:id="209978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EBD72-6015-42BB-8235-18323338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13825</Words>
  <Characters>76038</Characters>
  <Application>Microsoft Office Word</Application>
  <DocSecurity>0</DocSecurity>
  <Lines>633</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Djekoundakom   Peurmbaye</dc:creator>
  <cp:keywords/>
  <dc:description/>
  <cp:lastModifiedBy>Mbaindiguissem Djegol</cp:lastModifiedBy>
  <cp:revision>2</cp:revision>
  <dcterms:created xsi:type="dcterms:W3CDTF">2022-05-17T09:10:00Z</dcterms:created>
  <dcterms:modified xsi:type="dcterms:W3CDTF">2022-05-17T09:10:00Z</dcterms:modified>
</cp:coreProperties>
</file>