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F249C" w14:textId="585241BD" w:rsidR="00312368" w:rsidRPr="00913076" w:rsidRDefault="005243FD" w:rsidP="00961646">
      <w:pPr>
        <w:pStyle w:val="Bodytext40"/>
        <w:spacing w:after="260"/>
        <w:ind w:firstLine="0"/>
        <w:rPr>
          <w:rFonts w:asciiTheme="minorHAnsi" w:hAnsiTheme="minorHAnsi" w:cstheme="minorHAnsi"/>
          <w:color w:val="00B050"/>
          <w:sz w:val="36"/>
          <w:szCs w:val="36"/>
        </w:rPr>
      </w:pPr>
      <w:r w:rsidRPr="00913076">
        <w:rPr>
          <w:rStyle w:val="Bodytext4"/>
          <w:rFonts w:asciiTheme="minorHAnsi" w:hAnsiTheme="minorHAnsi" w:cstheme="minorHAnsi"/>
          <w:b/>
          <w:bCs/>
          <w:color w:val="00B050"/>
          <w:sz w:val="32"/>
          <w:szCs w:val="32"/>
        </w:rPr>
        <w:t xml:space="preserve"> </w:t>
      </w:r>
      <w:proofErr w:type="spellStart"/>
      <w:r w:rsidRPr="00913076">
        <w:rPr>
          <w:rStyle w:val="Bodytext4"/>
          <w:rFonts w:asciiTheme="minorHAnsi" w:hAnsiTheme="minorHAnsi" w:cstheme="minorHAnsi"/>
          <w:b/>
          <w:bCs/>
          <w:color w:val="00B050"/>
          <w:sz w:val="36"/>
          <w:szCs w:val="36"/>
        </w:rPr>
        <w:t>ToR</w:t>
      </w:r>
      <w:proofErr w:type="spellEnd"/>
      <w:r w:rsidRPr="00913076">
        <w:rPr>
          <w:rStyle w:val="Bodytext4"/>
          <w:rFonts w:asciiTheme="minorHAnsi" w:hAnsiTheme="minorHAnsi" w:cstheme="minorHAnsi"/>
          <w:b/>
          <w:bCs/>
          <w:color w:val="00B050"/>
          <w:sz w:val="36"/>
          <w:szCs w:val="36"/>
        </w:rPr>
        <w:t xml:space="preserve"> </w:t>
      </w:r>
      <w:r w:rsidR="00961646" w:rsidRPr="00913076">
        <w:rPr>
          <w:rStyle w:val="Bodytext4"/>
          <w:rFonts w:asciiTheme="minorHAnsi" w:hAnsiTheme="minorHAnsi" w:cstheme="minorHAnsi"/>
          <w:b/>
          <w:bCs/>
          <w:color w:val="00B050"/>
          <w:sz w:val="36"/>
          <w:szCs w:val="36"/>
        </w:rPr>
        <w:t>End-of-Round Survey in Nampula</w:t>
      </w:r>
    </w:p>
    <w:p w14:paraId="2A064474" w14:textId="3435527F" w:rsidR="00961646" w:rsidRPr="00913076" w:rsidRDefault="00980A1B" w:rsidP="00980A1B">
      <w:pPr>
        <w:pStyle w:val="Bodytext10"/>
        <w:spacing w:after="480" w:line="240" w:lineRule="auto"/>
        <w:rPr>
          <w:rStyle w:val="Bodytext1"/>
          <w:rFonts w:asciiTheme="minorHAnsi" w:hAnsiTheme="minorHAnsi" w:cstheme="minorHAnsi"/>
          <w:b/>
          <w:bCs/>
          <w:color w:val="00B050"/>
          <w:sz w:val="32"/>
          <w:szCs w:val="32"/>
        </w:rPr>
      </w:pPr>
      <w:r w:rsidRPr="00913076">
        <w:rPr>
          <w:rStyle w:val="Bodytext1"/>
          <w:rFonts w:asciiTheme="minorHAnsi" w:hAnsiTheme="minorHAnsi" w:cstheme="minorHAnsi"/>
          <w:b/>
          <w:bCs/>
          <w:color w:val="00B050"/>
          <w:sz w:val="32"/>
          <w:szCs w:val="32"/>
        </w:rPr>
        <w:t>Overview</w:t>
      </w:r>
    </w:p>
    <w:p w14:paraId="04389780" w14:textId="3E2947CC" w:rsidR="00980A1B" w:rsidRPr="00913076" w:rsidRDefault="00980A1B" w:rsidP="00BF7334">
      <w:pPr>
        <w:pStyle w:val="Bodytext10"/>
        <w:spacing w:after="0" w:line="276" w:lineRule="auto"/>
        <w:jc w:val="both"/>
        <w:rPr>
          <w:rStyle w:val="Bodytext1"/>
          <w:rFonts w:asciiTheme="minorHAnsi" w:hAnsiTheme="minorHAnsi" w:cstheme="minorHAnsi"/>
          <w:sz w:val="24"/>
          <w:szCs w:val="24"/>
        </w:rPr>
      </w:pPr>
      <w:r w:rsidRPr="00913076">
        <w:rPr>
          <w:rStyle w:val="Bodytext1"/>
          <w:rFonts w:asciiTheme="minorHAnsi" w:hAnsiTheme="minorHAnsi" w:cstheme="minorHAnsi"/>
          <w:sz w:val="24"/>
          <w:szCs w:val="24"/>
        </w:rPr>
        <w:t>Seasonal malaria chemopr</w:t>
      </w:r>
      <w:r w:rsidR="00330C7E" w:rsidRPr="00913076">
        <w:rPr>
          <w:rStyle w:val="Bodytext1"/>
          <w:rFonts w:asciiTheme="minorHAnsi" w:hAnsiTheme="minorHAnsi" w:cstheme="minorHAnsi"/>
          <w:sz w:val="24"/>
          <w:szCs w:val="24"/>
        </w:rPr>
        <w:t>evention</w:t>
      </w:r>
      <w:r w:rsidRPr="00913076">
        <w:rPr>
          <w:rStyle w:val="Bodytext1"/>
          <w:rFonts w:asciiTheme="minorHAnsi" w:hAnsiTheme="minorHAnsi" w:cstheme="minorHAnsi"/>
          <w:sz w:val="24"/>
          <w:szCs w:val="24"/>
        </w:rPr>
        <w:t xml:space="preserve"> (SMC) is a highly effective intervention to prevent malaria infection during peak transmission among those most at risk, </w:t>
      </w:r>
      <w:proofErr w:type="spellStart"/>
      <w:r w:rsidRPr="00913076">
        <w:rPr>
          <w:rStyle w:val="Bodytext1"/>
          <w:rFonts w:asciiTheme="minorHAnsi" w:hAnsiTheme="minorHAnsi" w:cstheme="minorHAnsi"/>
          <w:sz w:val="24"/>
          <w:szCs w:val="24"/>
        </w:rPr>
        <w:t>ie</w:t>
      </w:r>
      <w:proofErr w:type="spellEnd"/>
      <w:r w:rsidRPr="00913076">
        <w:rPr>
          <w:rStyle w:val="Bodytext1"/>
          <w:rFonts w:asciiTheme="minorHAnsi" w:hAnsiTheme="minorHAnsi" w:cstheme="minorHAnsi"/>
          <w:sz w:val="24"/>
          <w:szCs w:val="24"/>
        </w:rPr>
        <w:t xml:space="preserve"> children under age five. SMC involves administering four monthly cycles of two antimalarial drugs to children 3–59 months of age: sulfadoxine-pyrimethamine (SP) and amodiaquine (AQ)-SPAQ. Medicines are usually delivered door-to-door by volunteer community distributors (DC). Recommended by the World Health Organization (WHO), this intervention is safe, affordable, and feasible, and can prevent up to 75 percent of cases of malaria in children under five when accompanied by other interventions to combat malaria.</w:t>
      </w:r>
    </w:p>
    <w:p w14:paraId="5D26B748" w14:textId="77777777" w:rsidR="00BF7334" w:rsidRPr="00913076" w:rsidRDefault="00BF7334" w:rsidP="00BF7334">
      <w:pPr>
        <w:pStyle w:val="Bodytext10"/>
        <w:spacing w:after="0" w:line="276" w:lineRule="auto"/>
        <w:jc w:val="both"/>
        <w:rPr>
          <w:rStyle w:val="Bodytext1"/>
          <w:rFonts w:asciiTheme="minorHAnsi" w:hAnsiTheme="minorHAnsi" w:cstheme="minorHAnsi"/>
          <w:sz w:val="24"/>
          <w:szCs w:val="24"/>
        </w:rPr>
      </w:pPr>
    </w:p>
    <w:p w14:paraId="0A18C79F" w14:textId="7BDCB55D" w:rsidR="00980A1B" w:rsidRPr="00913076" w:rsidRDefault="00980A1B" w:rsidP="00BF7334">
      <w:pPr>
        <w:pStyle w:val="Bodytext10"/>
        <w:spacing w:after="0" w:line="276" w:lineRule="auto"/>
        <w:jc w:val="both"/>
        <w:rPr>
          <w:rStyle w:val="Bodytext1"/>
          <w:rFonts w:asciiTheme="minorHAnsi" w:hAnsiTheme="minorHAnsi" w:cstheme="minorHAnsi"/>
          <w:sz w:val="24"/>
          <w:szCs w:val="24"/>
        </w:rPr>
      </w:pPr>
      <w:r w:rsidRPr="00913076">
        <w:rPr>
          <w:rStyle w:val="Bodytext1"/>
          <w:rFonts w:asciiTheme="minorHAnsi" w:hAnsiTheme="minorHAnsi" w:cstheme="minorHAnsi"/>
          <w:sz w:val="24"/>
          <w:szCs w:val="24"/>
        </w:rPr>
        <w:t>A pilot, hybrid, phased study was conducted in Mozambique, the first phase of which (2020 and 2021) aimed to assess acceptability, feasibility and therapeutic efficacy and phase II aims to assess effectiveness and impact.</w:t>
      </w:r>
    </w:p>
    <w:p w14:paraId="73AEC220" w14:textId="77777777" w:rsidR="00980A1B" w:rsidRPr="00913076" w:rsidRDefault="00980A1B" w:rsidP="00BF7334">
      <w:pPr>
        <w:pStyle w:val="Bodytext10"/>
        <w:spacing w:after="0" w:line="276" w:lineRule="auto"/>
        <w:jc w:val="both"/>
        <w:rPr>
          <w:rStyle w:val="Bodytext1"/>
          <w:rFonts w:asciiTheme="minorHAnsi" w:hAnsiTheme="minorHAnsi" w:cstheme="minorHAnsi"/>
          <w:sz w:val="24"/>
          <w:szCs w:val="24"/>
        </w:rPr>
      </w:pPr>
      <w:r w:rsidRPr="00913076">
        <w:rPr>
          <w:rStyle w:val="Bodytext1"/>
          <w:rFonts w:asciiTheme="minorHAnsi" w:hAnsiTheme="minorHAnsi" w:cstheme="minorHAnsi"/>
          <w:sz w:val="24"/>
          <w:szCs w:val="24"/>
        </w:rPr>
        <w:t>The results of phase I, despite the high levels of resistance to SP observed, led to the conclusion that the SMC was viable, acceptable and confers good therapeutic efficacy.</w:t>
      </w:r>
    </w:p>
    <w:p w14:paraId="125A3BA4" w14:textId="77777777" w:rsidR="00980A1B" w:rsidRPr="00913076" w:rsidRDefault="00980A1B" w:rsidP="00BF7334">
      <w:pPr>
        <w:pStyle w:val="Bodytext10"/>
        <w:spacing w:after="0" w:line="276" w:lineRule="auto"/>
        <w:jc w:val="both"/>
        <w:rPr>
          <w:rStyle w:val="Bodytext1"/>
          <w:rFonts w:asciiTheme="minorHAnsi" w:hAnsiTheme="minorHAnsi" w:cstheme="minorHAnsi"/>
          <w:sz w:val="24"/>
          <w:szCs w:val="24"/>
        </w:rPr>
      </w:pPr>
      <w:r w:rsidRPr="00913076">
        <w:rPr>
          <w:rStyle w:val="Bodytext1"/>
          <w:rFonts w:asciiTheme="minorHAnsi" w:hAnsiTheme="minorHAnsi" w:cstheme="minorHAnsi"/>
          <w:sz w:val="24"/>
          <w:szCs w:val="24"/>
        </w:rPr>
        <w:t>The SPAQ distribution round, phase II, which started in January 2022 and ended last April, was successful and the administrative coverage data shows that a total of 120,000 children received the SPAQ and that there were no cases of adverse events. serious.</w:t>
      </w:r>
    </w:p>
    <w:p w14:paraId="469FCEC7" w14:textId="77777777" w:rsidR="00BF7334" w:rsidRPr="00913076" w:rsidRDefault="00980A1B" w:rsidP="00BF7334">
      <w:pPr>
        <w:pStyle w:val="Bodytext10"/>
        <w:spacing w:line="276" w:lineRule="auto"/>
        <w:rPr>
          <w:rStyle w:val="Bodytext1"/>
          <w:rFonts w:asciiTheme="minorHAnsi" w:hAnsiTheme="minorHAnsi" w:cstheme="minorHAnsi"/>
          <w:sz w:val="24"/>
          <w:szCs w:val="24"/>
        </w:rPr>
      </w:pPr>
      <w:r w:rsidRPr="00913076">
        <w:rPr>
          <w:rStyle w:val="Bodytext1"/>
          <w:rFonts w:asciiTheme="minorHAnsi" w:hAnsiTheme="minorHAnsi" w:cstheme="minorHAnsi"/>
          <w:sz w:val="24"/>
          <w:szCs w:val="24"/>
        </w:rPr>
        <w:t>At the same time, the results of the research reveal that the SMC conferred a protective efficacy of 69%.</w:t>
      </w:r>
      <w:r w:rsidR="00BF7334" w:rsidRPr="00913076">
        <w:rPr>
          <w:rStyle w:val="Bodytext1"/>
          <w:rFonts w:asciiTheme="minorHAnsi" w:hAnsiTheme="minorHAnsi" w:cstheme="minorHAnsi"/>
          <w:sz w:val="24"/>
          <w:szCs w:val="24"/>
        </w:rPr>
        <w:t xml:space="preserve"> </w:t>
      </w:r>
    </w:p>
    <w:p w14:paraId="2AE6513A" w14:textId="774FACA9" w:rsidR="00BF7334" w:rsidRPr="00913076" w:rsidRDefault="00BF7334" w:rsidP="00BF7334">
      <w:pPr>
        <w:pStyle w:val="Bodytext10"/>
        <w:spacing w:line="276" w:lineRule="auto"/>
        <w:rPr>
          <w:rStyle w:val="Bodytext1"/>
          <w:rFonts w:asciiTheme="minorHAnsi" w:hAnsiTheme="minorHAnsi" w:cstheme="minorHAnsi"/>
          <w:sz w:val="24"/>
          <w:szCs w:val="24"/>
        </w:rPr>
      </w:pPr>
      <w:r w:rsidRPr="00913076">
        <w:rPr>
          <w:rFonts w:asciiTheme="minorHAnsi" w:hAnsiTheme="minorHAnsi" w:cstheme="minorHAnsi"/>
          <w:sz w:val="24"/>
          <w:szCs w:val="24"/>
        </w:rPr>
        <w:t xml:space="preserve">MC scaled the SMC intervention to the entire province of Nampula, targeting 1,3 million children under 5 years, last round beginning </w:t>
      </w:r>
      <w:proofErr w:type="gramStart"/>
      <w:r w:rsidRPr="00913076">
        <w:rPr>
          <w:rFonts w:asciiTheme="minorHAnsi" w:hAnsiTheme="minorHAnsi" w:cstheme="minorHAnsi"/>
          <w:sz w:val="24"/>
          <w:szCs w:val="24"/>
        </w:rPr>
        <w:t>January,</w:t>
      </w:r>
      <w:proofErr w:type="gramEnd"/>
      <w:r w:rsidRPr="00913076">
        <w:rPr>
          <w:rFonts w:asciiTheme="minorHAnsi" w:hAnsiTheme="minorHAnsi" w:cstheme="minorHAnsi"/>
          <w:sz w:val="24"/>
          <w:szCs w:val="24"/>
        </w:rPr>
        <w:t xml:space="preserve"> 2023. The main goal for this survey was to evaluate coverage and quality of the 2022/23 SMC round implemented across 23 districts in Nampula Province</w:t>
      </w:r>
    </w:p>
    <w:p w14:paraId="7CAA9575" w14:textId="46F7C8FC" w:rsidR="00980A1B" w:rsidRPr="00913076" w:rsidRDefault="00980A1B" w:rsidP="00BF7334">
      <w:pPr>
        <w:pStyle w:val="Bodytext10"/>
        <w:spacing w:line="276" w:lineRule="auto"/>
        <w:rPr>
          <w:rStyle w:val="Bodytext1"/>
          <w:rFonts w:asciiTheme="minorHAnsi" w:hAnsiTheme="minorHAnsi" w:cstheme="minorHAnsi"/>
          <w:sz w:val="24"/>
          <w:szCs w:val="24"/>
        </w:rPr>
      </w:pPr>
      <w:r w:rsidRPr="00913076">
        <w:rPr>
          <w:rStyle w:val="Bodytext1"/>
          <w:rFonts w:asciiTheme="minorHAnsi" w:hAnsiTheme="minorHAnsi" w:cstheme="minorHAnsi"/>
          <w:sz w:val="24"/>
          <w:szCs w:val="24"/>
        </w:rPr>
        <w:t>Based on these results we started implementation SMC at scale targeting all 1,</w:t>
      </w:r>
      <w:r w:rsidR="002E4233" w:rsidRPr="00913076">
        <w:rPr>
          <w:rStyle w:val="Bodytext1"/>
          <w:rFonts w:asciiTheme="minorHAnsi" w:hAnsiTheme="minorHAnsi" w:cstheme="minorHAnsi"/>
          <w:sz w:val="24"/>
          <w:szCs w:val="24"/>
        </w:rPr>
        <w:t>5</w:t>
      </w:r>
      <w:r w:rsidRPr="00913076">
        <w:rPr>
          <w:rStyle w:val="Bodytext1"/>
          <w:rFonts w:asciiTheme="minorHAnsi" w:hAnsiTheme="minorHAnsi" w:cstheme="minorHAnsi"/>
          <w:sz w:val="24"/>
          <w:szCs w:val="24"/>
        </w:rPr>
        <w:t xml:space="preserve"> million under 5 years across Nampula Province.</w:t>
      </w:r>
    </w:p>
    <w:p w14:paraId="5E7C2406" w14:textId="66B0DC74" w:rsidR="00312368" w:rsidRPr="00913076" w:rsidRDefault="005243FD" w:rsidP="00BF7334">
      <w:pPr>
        <w:pStyle w:val="Bodytext10"/>
        <w:spacing w:after="0" w:line="276" w:lineRule="auto"/>
        <w:jc w:val="both"/>
        <w:rPr>
          <w:rFonts w:asciiTheme="minorHAnsi" w:hAnsiTheme="minorHAnsi" w:cstheme="minorHAnsi"/>
          <w:sz w:val="24"/>
          <w:szCs w:val="24"/>
        </w:rPr>
      </w:pPr>
      <w:r w:rsidRPr="00913076">
        <w:rPr>
          <w:rStyle w:val="Bodytext1"/>
          <w:rFonts w:asciiTheme="minorHAnsi" w:hAnsiTheme="minorHAnsi" w:cstheme="minorHAnsi"/>
          <w:sz w:val="24"/>
          <w:szCs w:val="24"/>
        </w:rPr>
        <w:t>It is important to evaluate the SMC implementation process in Mozambique, with attention to intervention coverage (as it relates to doses administered), specifically, SPAQ coverage; and quality (fidelity to the protocol), as the latter relates to age eligibility, directly observed therapy of the Day 1 dose and adherence to the Day 2 and Day 3 doses. The Medical Research Council Process Evaluation Framework for Complex Interventions (Moore et al, 2015) may be adopted to evaluate the SMC implementation process in Mozambique</w:t>
      </w:r>
      <w:r w:rsidR="00AF172C" w:rsidRPr="00913076">
        <w:rPr>
          <w:rStyle w:val="Bodytext1"/>
          <w:rFonts w:asciiTheme="minorHAnsi" w:hAnsiTheme="minorHAnsi" w:cstheme="minorHAnsi"/>
          <w:sz w:val="24"/>
          <w:szCs w:val="24"/>
        </w:rPr>
        <w:t>.</w:t>
      </w:r>
    </w:p>
    <w:p w14:paraId="65A4A854" w14:textId="233DF9F1" w:rsidR="00312368" w:rsidRPr="00913076" w:rsidRDefault="00312368" w:rsidP="00330C7E">
      <w:pPr>
        <w:spacing w:line="1" w:lineRule="exact"/>
        <w:jc w:val="both"/>
        <w:rPr>
          <w:rFonts w:asciiTheme="minorHAnsi" w:hAnsiTheme="minorHAnsi" w:cstheme="minorHAnsi"/>
        </w:rPr>
      </w:pPr>
    </w:p>
    <w:p w14:paraId="4A1815B8" w14:textId="77777777" w:rsidR="00980A1B" w:rsidRPr="00913076" w:rsidRDefault="00980A1B" w:rsidP="00330C7E">
      <w:pPr>
        <w:pStyle w:val="Bodytext10"/>
        <w:spacing w:after="100" w:line="319" w:lineRule="auto"/>
        <w:jc w:val="both"/>
        <w:rPr>
          <w:rStyle w:val="Bodytext1"/>
          <w:rFonts w:asciiTheme="minorHAnsi" w:hAnsiTheme="minorHAnsi" w:cstheme="minorHAnsi"/>
          <w:b/>
          <w:bCs/>
          <w:i/>
          <w:iCs/>
          <w:sz w:val="24"/>
          <w:szCs w:val="24"/>
        </w:rPr>
      </w:pPr>
    </w:p>
    <w:p w14:paraId="78DA8B88" w14:textId="356A4CFB" w:rsidR="00312368" w:rsidRPr="00913076" w:rsidRDefault="005243FD" w:rsidP="00330C7E">
      <w:pPr>
        <w:pStyle w:val="Bodytext10"/>
        <w:spacing w:after="100" w:line="319" w:lineRule="auto"/>
        <w:jc w:val="both"/>
        <w:rPr>
          <w:rFonts w:asciiTheme="minorHAnsi" w:hAnsiTheme="minorHAnsi" w:cstheme="minorHAnsi"/>
          <w:color w:val="00B050"/>
          <w:sz w:val="24"/>
          <w:szCs w:val="24"/>
        </w:rPr>
      </w:pPr>
      <w:r w:rsidRPr="00913076">
        <w:rPr>
          <w:rStyle w:val="Bodytext1"/>
          <w:rFonts w:asciiTheme="minorHAnsi" w:hAnsiTheme="minorHAnsi" w:cstheme="minorHAnsi"/>
          <w:b/>
          <w:bCs/>
          <w:i/>
          <w:iCs/>
          <w:color w:val="00B050"/>
          <w:sz w:val="24"/>
          <w:szCs w:val="24"/>
        </w:rPr>
        <w:lastRenderedPageBreak/>
        <w:t>SPAQ Coverage</w:t>
      </w:r>
    </w:p>
    <w:p w14:paraId="7327EB9F" w14:textId="77777777" w:rsidR="00312368" w:rsidRPr="00913076" w:rsidRDefault="005243FD" w:rsidP="00330C7E">
      <w:pPr>
        <w:pStyle w:val="Bodytext10"/>
        <w:spacing w:after="100" w:line="319" w:lineRule="auto"/>
        <w:jc w:val="both"/>
        <w:rPr>
          <w:rFonts w:asciiTheme="minorHAnsi" w:hAnsiTheme="minorHAnsi" w:cstheme="minorHAnsi"/>
          <w:sz w:val="24"/>
          <w:szCs w:val="24"/>
        </w:rPr>
      </w:pPr>
      <w:r w:rsidRPr="00913076">
        <w:rPr>
          <w:rStyle w:val="Bodytext1"/>
          <w:rFonts w:asciiTheme="minorHAnsi" w:hAnsiTheme="minorHAnsi" w:cstheme="minorHAnsi"/>
          <w:sz w:val="24"/>
          <w:szCs w:val="24"/>
        </w:rPr>
        <w:t>For maximum protection, children should receive a full three-day course of SPAQ during all four monthly cycles in a seasonal round of SMC. At the population level, SMC should provide maximum coverage to extend protection as widely as possible among the eligible population in targeted areas.</w:t>
      </w:r>
    </w:p>
    <w:p w14:paraId="5D871F7B" w14:textId="008EE570" w:rsidR="00312368" w:rsidRPr="00913076" w:rsidRDefault="005243FD" w:rsidP="00330C7E">
      <w:pPr>
        <w:pStyle w:val="Bodytext10"/>
        <w:spacing w:after="100" w:line="319" w:lineRule="auto"/>
        <w:jc w:val="both"/>
        <w:rPr>
          <w:rFonts w:asciiTheme="minorHAnsi" w:hAnsiTheme="minorHAnsi" w:cstheme="minorHAnsi"/>
          <w:sz w:val="24"/>
          <w:szCs w:val="24"/>
        </w:rPr>
      </w:pPr>
      <w:r w:rsidRPr="00913076">
        <w:rPr>
          <w:rStyle w:val="Bodytext1"/>
          <w:rFonts w:asciiTheme="minorHAnsi" w:hAnsiTheme="minorHAnsi" w:cstheme="minorHAnsi"/>
          <w:sz w:val="24"/>
          <w:szCs w:val="24"/>
        </w:rPr>
        <w:t xml:space="preserve">In general, coverage can be defined as the number of people reached by services offered by a program as a proportion of the eligible target population. In the context of SMC, coverage can therefore be defined as the proportion of children who received SPAQ in each monthly cycle during the transmission season. It should be noted, however, that </w:t>
      </w:r>
      <w:r w:rsidR="00E17872" w:rsidRPr="00913076">
        <w:rPr>
          <w:rStyle w:val="Bodytext1"/>
          <w:rFonts w:asciiTheme="minorHAnsi" w:hAnsiTheme="minorHAnsi" w:cstheme="minorHAnsi"/>
          <w:sz w:val="24"/>
          <w:szCs w:val="24"/>
        </w:rPr>
        <w:t>in each</w:t>
      </w:r>
      <w:r w:rsidRPr="00913076">
        <w:rPr>
          <w:rStyle w:val="Bodytext1"/>
          <w:rFonts w:asciiTheme="minorHAnsi" w:hAnsiTheme="minorHAnsi" w:cstheme="minorHAnsi"/>
          <w:sz w:val="24"/>
          <w:szCs w:val="24"/>
        </w:rPr>
        <w:t xml:space="preserve"> population, SPAQ coverage can be defined in different ways. As receiving the first dose of SP and AQ alone is insufficient to provide full protection for the full duration of the high transmission season, coverage indicators should </w:t>
      </w:r>
      <w:r w:rsidR="00E17872" w:rsidRPr="00913076">
        <w:rPr>
          <w:rStyle w:val="Bodytext1"/>
          <w:rFonts w:asciiTheme="minorHAnsi" w:hAnsiTheme="minorHAnsi" w:cstheme="minorHAnsi"/>
          <w:sz w:val="24"/>
          <w:szCs w:val="24"/>
        </w:rPr>
        <w:t>consider</w:t>
      </w:r>
      <w:r w:rsidRPr="00913076">
        <w:rPr>
          <w:rStyle w:val="Bodytext1"/>
          <w:rFonts w:asciiTheme="minorHAnsi" w:hAnsiTheme="minorHAnsi" w:cstheme="minorHAnsi"/>
          <w:sz w:val="24"/>
          <w:szCs w:val="24"/>
        </w:rPr>
        <w:t xml:space="preserve"> adherence to all relevant components of SMC administration, including proportions of households visited by distributors, administration of Day 2 and 3 AQ by caregivers, and whether caregivers reported adherence to all three doses of SPAQ in all monthly cycles.</w:t>
      </w:r>
    </w:p>
    <w:p w14:paraId="09349B52" w14:textId="24E5CF7A" w:rsidR="00980A1B" w:rsidRPr="00913076" w:rsidRDefault="005243FD" w:rsidP="00330C7E">
      <w:pPr>
        <w:pStyle w:val="Bodytext10"/>
        <w:spacing w:after="0" w:line="240" w:lineRule="auto"/>
        <w:jc w:val="both"/>
        <w:rPr>
          <w:rStyle w:val="Bodytext1"/>
          <w:rFonts w:asciiTheme="minorHAnsi" w:hAnsiTheme="minorHAnsi" w:cstheme="minorHAnsi"/>
          <w:sz w:val="24"/>
          <w:szCs w:val="24"/>
        </w:rPr>
      </w:pPr>
      <w:r w:rsidRPr="00913076">
        <w:rPr>
          <w:rStyle w:val="Bodytext1"/>
          <w:rFonts w:asciiTheme="minorHAnsi" w:hAnsiTheme="minorHAnsi" w:cstheme="minorHAnsi"/>
          <w:sz w:val="24"/>
          <w:szCs w:val="24"/>
        </w:rPr>
        <w:t>To evaluate the coverage provided in the SMC pilot, an End-of Round (EoR) survey will be carried out by an independent research agency in</w:t>
      </w:r>
      <w:r w:rsidR="002E4233" w:rsidRPr="00913076">
        <w:rPr>
          <w:rStyle w:val="Bodytext1"/>
          <w:rFonts w:asciiTheme="minorHAnsi" w:hAnsiTheme="minorHAnsi" w:cstheme="minorHAnsi"/>
          <w:sz w:val="24"/>
          <w:szCs w:val="24"/>
        </w:rPr>
        <w:t xml:space="preserve"> May</w:t>
      </w:r>
      <w:r w:rsidR="00980A1B" w:rsidRPr="00913076">
        <w:rPr>
          <w:rStyle w:val="Bodytext1"/>
          <w:rFonts w:asciiTheme="minorHAnsi" w:hAnsiTheme="minorHAnsi" w:cstheme="minorHAnsi"/>
          <w:sz w:val="24"/>
          <w:szCs w:val="24"/>
        </w:rPr>
        <w:t xml:space="preserve"> 202</w:t>
      </w:r>
      <w:r w:rsidR="002E4233" w:rsidRPr="00913076">
        <w:rPr>
          <w:rStyle w:val="Bodytext1"/>
          <w:rFonts w:asciiTheme="minorHAnsi" w:hAnsiTheme="minorHAnsi" w:cstheme="minorHAnsi"/>
          <w:sz w:val="24"/>
          <w:szCs w:val="24"/>
        </w:rPr>
        <w:t>4</w:t>
      </w:r>
      <w:r w:rsidRPr="00913076">
        <w:rPr>
          <w:rStyle w:val="Bodytext1"/>
          <w:rFonts w:asciiTheme="minorHAnsi" w:hAnsiTheme="minorHAnsi" w:cstheme="minorHAnsi"/>
          <w:sz w:val="24"/>
          <w:szCs w:val="24"/>
        </w:rPr>
        <w:t>.</w:t>
      </w:r>
    </w:p>
    <w:p w14:paraId="23CFA11B" w14:textId="6933F46B" w:rsidR="00312368" w:rsidRPr="00913076" w:rsidRDefault="005243FD" w:rsidP="00330C7E">
      <w:pPr>
        <w:pStyle w:val="Bodytext10"/>
        <w:spacing w:after="0" w:line="240" w:lineRule="auto"/>
        <w:jc w:val="both"/>
        <w:rPr>
          <w:rFonts w:asciiTheme="minorHAnsi" w:hAnsiTheme="minorHAnsi" w:cstheme="minorHAnsi"/>
          <w:sz w:val="24"/>
          <w:szCs w:val="24"/>
        </w:rPr>
      </w:pPr>
      <w:r w:rsidRPr="00913076">
        <w:rPr>
          <w:rStyle w:val="Bodytext1"/>
          <w:rFonts w:asciiTheme="minorHAnsi" w:hAnsiTheme="minorHAnsi" w:cstheme="minorHAnsi"/>
          <w:sz w:val="24"/>
          <w:szCs w:val="24"/>
        </w:rPr>
        <w:t xml:space="preserve"> The objective of the end-or-round survey is to retrospectively determine coverage by surveying caregivers of eligible children and asking them if their children received the full 3-day course of SPAQ during each cycle of the SMC round.</w:t>
      </w:r>
    </w:p>
    <w:p w14:paraId="6F64401A" w14:textId="16AEEBBF" w:rsidR="00312368" w:rsidRPr="00913076" w:rsidRDefault="005243FD" w:rsidP="00330C7E">
      <w:pPr>
        <w:pStyle w:val="Bodytext10"/>
        <w:spacing w:after="0" w:line="240" w:lineRule="auto"/>
        <w:jc w:val="both"/>
        <w:rPr>
          <w:rFonts w:asciiTheme="minorHAnsi" w:hAnsiTheme="minorHAnsi" w:cstheme="minorHAnsi"/>
          <w:sz w:val="24"/>
          <w:szCs w:val="24"/>
        </w:rPr>
      </w:pPr>
      <w:r w:rsidRPr="00913076">
        <w:rPr>
          <w:rStyle w:val="Bodytext1"/>
          <w:rFonts w:asciiTheme="minorHAnsi" w:hAnsiTheme="minorHAnsi" w:cstheme="minorHAnsi"/>
          <w:sz w:val="24"/>
          <w:szCs w:val="24"/>
        </w:rPr>
        <w:t>In essence, the End-of-</w:t>
      </w:r>
      <w:proofErr w:type="gramStart"/>
      <w:r w:rsidRPr="00913076">
        <w:rPr>
          <w:rStyle w:val="Bodytext1"/>
          <w:rFonts w:asciiTheme="minorHAnsi" w:hAnsiTheme="minorHAnsi" w:cstheme="minorHAnsi"/>
          <w:sz w:val="24"/>
          <w:szCs w:val="24"/>
        </w:rPr>
        <w:t>Round</w:t>
      </w:r>
      <w:proofErr w:type="gramEnd"/>
      <w:r w:rsidRPr="00913076">
        <w:rPr>
          <w:rStyle w:val="Bodytext1"/>
          <w:rFonts w:asciiTheme="minorHAnsi" w:hAnsiTheme="minorHAnsi" w:cstheme="minorHAnsi"/>
          <w:sz w:val="24"/>
          <w:szCs w:val="24"/>
        </w:rPr>
        <w:t xml:space="preserve"> surveys aim to assess coverage defined as the proportion of eligible children</w:t>
      </w:r>
      <w:r w:rsidR="009302C9" w:rsidRPr="00913076">
        <w:rPr>
          <w:rStyle w:val="Bodytext1"/>
          <w:rFonts w:asciiTheme="minorHAnsi" w:hAnsiTheme="minorHAnsi" w:cstheme="minorHAnsi"/>
          <w:sz w:val="24"/>
          <w:szCs w:val="24"/>
        </w:rPr>
        <w:t xml:space="preserve"> </w:t>
      </w:r>
      <w:r w:rsidRPr="00913076">
        <w:rPr>
          <w:rStyle w:val="Bodytext1"/>
          <w:rFonts w:asciiTheme="minorHAnsi" w:hAnsiTheme="minorHAnsi" w:cstheme="minorHAnsi"/>
          <w:sz w:val="24"/>
          <w:szCs w:val="24"/>
        </w:rPr>
        <w:t>that received a full 3-day course of SPAQ during each of the four monthly cycles of the 202</w:t>
      </w:r>
      <w:r w:rsidR="002E4233" w:rsidRPr="00913076">
        <w:rPr>
          <w:rStyle w:val="Bodytext1"/>
          <w:rFonts w:asciiTheme="minorHAnsi" w:hAnsiTheme="minorHAnsi" w:cstheme="minorHAnsi"/>
          <w:sz w:val="24"/>
          <w:szCs w:val="24"/>
        </w:rPr>
        <w:t>3</w:t>
      </w:r>
      <w:r w:rsidRPr="00913076">
        <w:rPr>
          <w:rStyle w:val="Bodytext1"/>
          <w:rFonts w:asciiTheme="minorHAnsi" w:hAnsiTheme="minorHAnsi" w:cstheme="minorHAnsi"/>
          <w:sz w:val="24"/>
          <w:szCs w:val="24"/>
        </w:rPr>
        <w:t>/2</w:t>
      </w:r>
      <w:r w:rsidR="002E4233" w:rsidRPr="00913076">
        <w:rPr>
          <w:rStyle w:val="Bodytext1"/>
          <w:rFonts w:asciiTheme="minorHAnsi" w:hAnsiTheme="minorHAnsi" w:cstheme="minorHAnsi"/>
          <w:sz w:val="24"/>
          <w:szCs w:val="24"/>
        </w:rPr>
        <w:t>4</w:t>
      </w:r>
      <w:r w:rsidRPr="00913076">
        <w:rPr>
          <w:rStyle w:val="Bodytext1"/>
          <w:rFonts w:asciiTheme="minorHAnsi" w:hAnsiTheme="minorHAnsi" w:cstheme="minorHAnsi"/>
          <w:sz w:val="24"/>
          <w:szCs w:val="24"/>
        </w:rPr>
        <w:t xml:space="preserve"> SMC campaign. The surveys are designed to meet the following objectives:</w:t>
      </w:r>
    </w:p>
    <w:p w14:paraId="73FC2798" w14:textId="77777777" w:rsidR="00312368" w:rsidRPr="00913076" w:rsidRDefault="005243FD" w:rsidP="00330C7E">
      <w:pPr>
        <w:pStyle w:val="Bodytext10"/>
        <w:numPr>
          <w:ilvl w:val="0"/>
          <w:numId w:val="17"/>
        </w:numPr>
        <w:tabs>
          <w:tab w:val="left" w:pos="696"/>
        </w:tabs>
        <w:spacing w:after="0" w:line="240" w:lineRule="auto"/>
        <w:ind w:left="700" w:hanging="340"/>
        <w:jc w:val="both"/>
        <w:rPr>
          <w:rFonts w:asciiTheme="minorHAnsi" w:hAnsiTheme="minorHAnsi" w:cstheme="minorHAnsi"/>
          <w:sz w:val="24"/>
          <w:szCs w:val="24"/>
        </w:rPr>
      </w:pPr>
      <w:r w:rsidRPr="00913076">
        <w:rPr>
          <w:rStyle w:val="Bodytext1"/>
          <w:rFonts w:asciiTheme="minorHAnsi" w:hAnsiTheme="minorHAnsi" w:cstheme="minorHAnsi"/>
          <w:sz w:val="24"/>
          <w:szCs w:val="24"/>
        </w:rPr>
        <w:t xml:space="preserve">To assess coverage in terms of households visited, Day 1 SPAQ administered and full three-day course of SPAQ received during cycle </w:t>
      </w:r>
      <w:proofErr w:type="gramStart"/>
      <w:r w:rsidRPr="00913076">
        <w:rPr>
          <w:rStyle w:val="Bodytext1"/>
          <w:rFonts w:asciiTheme="minorHAnsi" w:hAnsiTheme="minorHAnsi" w:cstheme="minorHAnsi"/>
          <w:sz w:val="24"/>
          <w:szCs w:val="24"/>
        </w:rPr>
        <w:t>4</w:t>
      </w:r>
      <w:proofErr w:type="gramEnd"/>
    </w:p>
    <w:p w14:paraId="2B87DFB1" w14:textId="02311C0A" w:rsidR="00312368" w:rsidRPr="00913076" w:rsidRDefault="005243FD" w:rsidP="00330C7E">
      <w:pPr>
        <w:pStyle w:val="Bodytext10"/>
        <w:numPr>
          <w:ilvl w:val="0"/>
          <w:numId w:val="17"/>
        </w:numPr>
        <w:tabs>
          <w:tab w:val="left" w:pos="696"/>
        </w:tabs>
        <w:spacing w:after="0" w:line="240" w:lineRule="auto"/>
        <w:ind w:left="700" w:hanging="340"/>
        <w:jc w:val="both"/>
        <w:rPr>
          <w:rStyle w:val="Bodytext1"/>
          <w:rFonts w:asciiTheme="minorHAnsi" w:hAnsiTheme="minorHAnsi" w:cstheme="minorHAnsi"/>
          <w:sz w:val="24"/>
          <w:szCs w:val="24"/>
        </w:rPr>
      </w:pPr>
      <w:r w:rsidRPr="00913076">
        <w:rPr>
          <w:rStyle w:val="Bodytext1"/>
          <w:rFonts w:asciiTheme="minorHAnsi" w:hAnsiTheme="minorHAnsi" w:cstheme="minorHAnsi"/>
          <w:sz w:val="24"/>
          <w:szCs w:val="24"/>
        </w:rPr>
        <w:t xml:space="preserve">To assess coverage in terms of children who received Day 1 SPAQ during all four monthly </w:t>
      </w:r>
      <w:proofErr w:type="gramStart"/>
      <w:r w:rsidRPr="00913076">
        <w:rPr>
          <w:rStyle w:val="Bodytext1"/>
          <w:rFonts w:asciiTheme="minorHAnsi" w:hAnsiTheme="minorHAnsi" w:cstheme="minorHAnsi"/>
          <w:sz w:val="24"/>
          <w:szCs w:val="24"/>
        </w:rPr>
        <w:t>cycles</w:t>
      </w:r>
      <w:proofErr w:type="gramEnd"/>
    </w:p>
    <w:p w14:paraId="310D5A77" w14:textId="4C55F637" w:rsidR="002F4BD9" w:rsidRPr="00913076" w:rsidRDefault="002F4BD9" w:rsidP="00330C7E">
      <w:pPr>
        <w:pStyle w:val="Bodytext10"/>
        <w:numPr>
          <w:ilvl w:val="0"/>
          <w:numId w:val="17"/>
        </w:numPr>
        <w:tabs>
          <w:tab w:val="left" w:pos="696"/>
        </w:tabs>
        <w:spacing w:after="0" w:line="240" w:lineRule="auto"/>
        <w:ind w:left="700" w:hanging="340"/>
        <w:jc w:val="both"/>
        <w:rPr>
          <w:rFonts w:asciiTheme="minorHAnsi" w:hAnsiTheme="minorHAnsi" w:cstheme="minorHAnsi"/>
          <w:sz w:val="24"/>
          <w:szCs w:val="24"/>
        </w:rPr>
      </w:pPr>
      <w:r w:rsidRPr="00913076">
        <w:rPr>
          <w:rStyle w:val="Bodytext1"/>
          <w:rFonts w:asciiTheme="minorHAnsi" w:hAnsiTheme="minorHAnsi" w:cstheme="minorHAnsi"/>
          <w:sz w:val="24"/>
          <w:szCs w:val="24"/>
        </w:rPr>
        <w:t xml:space="preserve">To assess compliance with directly observed administration of Day 1 SPAQ by community </w:t>
      </w:r>
      <w:proofErr w:type="gramStart"/>
      <w:r w:rsidRPr="00913076">
        <w:rPr>
          <w:rStyle w:val="Bodytext1"/>
          <w:rFonts w:asciiTheme="minorHAnsi" w:hAnsiTheme="minorHAnsi" w:cstheme="minorHAnsi"/>
          <w:sz w:val="24"/>
          <w:szCs w:val="24"/>
        </w:rPr>
        <w:t>distributors</w:t>
      </w:r>
      <w:proofErr w:type="gramEnd"/>
    </w:p>
    <w:p w14:paraId="169D4B51" w14:textId="08B68CC4" w:rsidR="00312368" w:rsidRPr="00913076" w:rsidRDefault="005243FD" w:rsidP="00330C7E">
      <w:pPr>
        <w:pStyle w:val="Bodytext10"/>
        <w:numPr>
          <w:ilvl w:val="0"/>
          <w:numId w:val="17"/>
        </w:numPr>
        <w:tabs>
          <w:tab w:val="left" w:pos="676"/>
        </w:tabs>
        <w:spacing w:after="0" w:line="240" w:lineRule="auto"/>
        <w:ind w:firstLine="340"/>
        <w:jc w:val="both"/>
        <w:rPr>
          <w:rFonts w:asciiTheme="minorHAnsi" w:hAnsiTheme="minorHAnsi" w:cstheme="minorHAnsi"/>
          <w:sz w:val="24"/>
          <w:szCs w:val="24"/>
        </w:rPr>
      </w:pPr>
      <w:r w:rsidRPr="00913076">
        <w:rPr>
          <w:rStyle w:val="Bodytext1"/>
          <w:rFonts w:asciiTheme="minorHAnsi" w:hAnsiTheme="minorHAnsi" w:cstheme="minorHAnsi"/>
          <w:sz w:val="24"/>
          <w:szCs w:val="24"/>
        </w:rPr>
        <w:t xml:space="preserve">To assess coverage in terms of </w:t>
      </w:r>
      <w:r w:rsidR="009F38DB" w:rsidRPr="00913076">
        <w:rPr>
          <w:rStyle w:val="Bodytext1"/>
          <w:rFonts w:asciiTheme="minorHAnsi" w:hAnsiTheme="minorHAnsi" w:cstheme="minorHAnsi"/>
          <w:sz w:val="24"/>
          <w:szCs w:val="24"/>
        </w:rPr>
        <w:t>adherence to the full three-day course of SPAQ</w:t>
      </w:r>
    </w:p>
    <w:p w14:paraId="2B5F16E1" w14:textId="60F2D409" w:rsidR="00312368" w:rsidRPr="00913076" w:rsidRDefault="005243FD" w:rsidP="00330C7E">
      <w:pPr>
        <w:pStyle w:val="Bodytext10"/>
        <w:numPr>
          <w:ilvl w:val="0"/>
          <w:numId w:val="17"/>
        </w:numPr>
        <w:tabs>
          <w:tab w:val="left" w:pos="676"/>
        </w:tabs>
        <w:spacing w:after="0" w:line="240" w:lineRule="auto"/>
        <w:ind w:firstLine="340"/>
        <w:jc w:val="both"/>
        <w:rPr>
          <w:rFonts w:asciiTheme="minorHAnsi" w:hAnsiTheme="minorHAnsi" w:cstheme="minorHAnsi"/>
          <w:sz w:val="24"/>
          <w:szCs w:val="24"/>
        </w:rPr>
      </w:pPr>
      <w:r w:rsidRPr="00913076">
        <w:rPr>
          <w:rStyle w:val="Bodytext1"/>
          <w:rFonts w:asciiTheme="minorHAnsi" w:hAnsiTheme="minorHAnsi" w:cstheme="minorHAnsi"/>
          <w:sz w:val="24"/>
          <w:szCs w:val="24"/>
        </w:rPr>
        <w:t xml:space="preserve">To assess </w:t>
      </w:r>
      <w:r w:rsidR="009F38DB" w:rsidRPr="00913076">
        <w:rPr>
          <w:rStyle w:val="Bodytext1"/>
          <w:rFonts w:asciiTheme="minorHAnsi" w:hAnsiTheme="minorHAnsi" w:cstheme="minorHAnsi"/>
          <w:sz w:val="24"/>
          <w:szCs w:val="24"/>
        </w:rPr>
        <w:t>the l</w:t>
      </w:r>
      <w:proofErr w:type="spellStart"/>
      <w:r w:rsidR="009F38DB" w:rsidRPr="00913076">
        <w:rPr>
          <w:rFonts w:asciiTheme="minorHAnsi" w:hAnsiTheme="minorHAnsi" w:cstheme="minorHAnsi"/>
          <w:sz w:val="24"/>
          <w:szCs w:val="24"/>
          <w:lang w:val="en-GB"/>
        </w:rPr>
        <w:t>evel</w:t>
      </w:r>
      <w:proofErr w:type="spellEnd"/>
      <w:r w:rsidR="009F38DB" w:rsidRPr="00913076">
        <w:rPr>
          <w:rFonts w:asciiTheme="minorHAnsi" w:hAnsiTheme="minorHAnsi" w:cstheme="minorHAnsi"/>
          <w:sz w:val="24"/>
          <w:szCs w:val="24"/>
          <w:lang w:val="en-GB"/>
        </w:rPr>
        <w:t xml:space="preserve"> of receipt of SPAQ by ineligible children aged 60–119 months.</w:t>
      </w:r>
    </w:p>
    <w:p w14:paraId="79FD6EE8" w14:textId="77777777" w:rsidR="00312368" w:rsidRPr="00913076" w:rsidRDefault="005243FD" w:rsidP="00330C7E">
      <w:pPr>
        <w:pStyle w:val="Bodytext10"/>
        <w:numPr>
          <w:ilvl w:val="0"/>
          <w:numId w:val="17"/>
        </w:numPr>
        <w:tabs>
          <w:tab w:val="left" w:pos="676"/>
        </w:tabs>
        <w:spacing w:after="0" w:line="240" w:lineRule="auto"/>
        <w:ind w:firstLine="340"/>
        <w:jc w:val="both"/>
        <w:rPr>
          <w:rFonts w:asciiTheme="minorHAnsi" w:hAnsiTheme="minorHAnsi" w:cstheme="minorHAnsi"/>
          <w:sz w:val="24"/>
          <w:szCs w:val="24"/>
        </w:rPr>
      </w:pPr>
      <w:r w:rsidRPr="00913076">
        <w:rPr>
          <w:rStyle w:val="Bodytext1"/>
          <w:rFonts w:asciiTheme="minorHAnsi" w:hAnsiTheme="minorHAnsi" w:cstheme="minorHAnsi"/>
          <w:sz w:val="24"/>
          <w:szCs w:val="24"/>
        </w:rPr>
        <w:t xml:space="preserve">To assess </w:t>
      </w:r>
      <w:proofErr w:type="spellStart"/>
      <w:r w:rsidRPr="00913076">
        <w:rPr>
          <w:rStyle w:val="Bodytext1"/>
          <w:rFonts w:asciiTheme="minorHAnsi" w:hAnsiTheme="minorHAnsi" w:cstheme="minorHAnsi"/>
          <w:sz w:val="24"/>
          <w:szCs w:val="24"/>
        </w:rPr>
        <w:t>programme</w:t>
      </w:r>
      <w:proofErr w:type="spellEnd"/>
      <w:r w:rsidRPr="00913076">
        <w:rPr>
          <w:rStyle w:val="Bodytext1"/>
          <w:rFonts w:asciiTheme="minorHAnsi" w:hAnsiTheme="minorHAnsi" w:cstheme="minorHAnsi"/>
          <w:sz w:val="24"/>
          <w:szCs w:val="24"/>
        </w:rPr>
        <w:t xml:space="preserve"> performance across the four monthly SMC cycles.</w:t>
      </w:r>
    </w:p>
    <w:p w14:paraId="79F6321D" w14:textId="77777777" w:rsidR="009F38DB" w:rsidRPr="00913076" w:rsidRDefault="009F38DB" w:rsidP="00330C7E">
      <w:pPr>
        <w:pStyle w:val="Bodytext10"/>
        <w:spacing w:after="100" w:line="319" w:lineRule="auto"/>
        <w:jc w:val="both"/>
        <w:rPr>
          <w:rStyle w:val="Bodytext1"/>
          <w:rFonts w:asciiTheme="minorHAnsi" w:hAnsiTheme="minorHAnsi" w:cstheme="minorHAnsi"/>
          <w:sz w:val="24"/>
          <w:szCs w:val="24"/>
        </w:rPr>
      </w:pPr>
    </w:p>
    <w:p w14:paraId="2616476B" w14:textId="426B3058" w:rsidR="000F607C" w:rsidRPr="00913076" w:rsidRDefault="009F38DB" w:rsidP="00330C7E">
      <w:pPr>
        <w:pStyle w:val="Bodytext10"/>
        <w:spacing w:after="100" w:line="319" w:lineRule="auto"/>
        <w:jc w:val="both"/>
        <w:rPr>
          <w:rStyle w:val="Bodytext1"/>
          <w:rFonts w:asciiTheme="minorHAnsi" w:hAnsiTheme="minorHAnsi" w:cstheme="minorHAnsi"/>
          <w:sz w:val="24"/>
          <w:szCs w:val="24"/>
        </w:rPr>
      </w:pPr>
      <w:r w:rsidRPr="00913076">
        <w:rPr>
          <w:rStyle w:val="Bodytext1"/>
          <w:rFonts w:asciiTheme="minorHAnsi" w:hAnsiTheme="minorHAnsi" w:cstheme="minorHAnsi"/>
          <w:sz w:val="24"/>
          <w:szCs w:val="24"/>
        </w:rPr>
        <w:t>Other objectives will include:</w:t>
      </w:r>
    </w:p>
    <w:p w14:paraId="4D152E06" w14:textId="0E4E8DA6" w:rsidR="009F38DB" w:rsidRPr="00913076" w:rsidRDefault="009F38DB" w:rsidP="00330C7E">
      <w:pPr>
        <w:pStyle w:val="Paragraphedeliste1"/>
        <w:numPr>
          <w:ilvl w:val="0"/>
          <w:numId w:val="26"/>
        </w:numPr>
        <w:jc w:val="both"/>
        <w:rPr>
          <w:rFonts w:asciiTheme="minorHAnsi" w:hAnsiTheme="minorHAnsi" w:cstheme="minorHAnsi"/>
          <w:sz w:val="24"/>
          <w:szCs w:val="24"/>
        </w:rPr>
      </w:pPr>
      <w:r w:rsidRPr="00913076">
        <w:rPr>
          <w:rFonts w:asciiTheme="minorHAnsi" w:hAnsiTheme="minorHAnsi" w:cstheme="minorHAnsi"/>
          <w:sz w:val="24"/>
          <w:szCs w:val="24"/>
          <w:lang w:val="en-GB"/>
        </w:rPr>
        <w:t>To assess the</w:t>
      </w:r>
      <w:r w:rsidR="002F4BD9" w:rsidRPr="00913076">
        <w:rPr>
          <w:rFonts w:asciiTheme="minorHAnsi" w:hAnsiTheme="minorHAnsi" w:cstheme="minorHAnsi"/>
          <w:sz w:val="24"/>
          <w:szCs w:val="24"/>
          <w:lang w:val="en-GB"/>
        </w:rPr>
        <w:t xml:space="preserve"> level</w:t>
      </w:r>
      <w:r w:rsidRPr="00913076">
        <w:rPr>
          <w:rFonts w:asciiTheme="minorHAnsi" w:hAnsiTheme="minorHAnsi" w:cstheme="minorHAnsi"/>
          <w:sz w:val="24"/>
          <w:szCs w:val="24"/>
          <w:lang w:val="en"/>
        </w:rPr>
        <w:t xml:space="preserve"> of </w:t>
      </w:r>
      <w:r w:rsidR="002F4BD9" w:rsidRPr="00913076">
        <w:rPr>
          <w:rFonts w:asciiTheme="minorHAnsi" w:hAnsiTheme="minorHAnsi" w:cstheme="minorHAnsi"/>
          <w:sz w:val="24"/>
          <w:szCs w:val="24"/>
          <w:lang w:val="en"/>
        </w:rPr>
        <w:t xml:space="preserve">the </w:t>
      </w:r>
      <w:r w:rsidRPr="00913076">
        <w:rPr>
          <w:rFonts w:asciiTheme="minorHAnsi" w:hAnsiTheme="minorHAnsi" w:cstheme="minorHAnsi"/>
          <w:sz w:val="24"/>
          <w:szCs w:val="24"/>
          <w:lang w:val="en"/>
        </w:rPr>
        <w:t xml:space="preserve">use and retention of </w:t>
      </w:r>
      <w:r w:rsidR="002F4BD9" w:rsidRPr="00913076">
        <w:rPr>
          <w:rFonts w:asciiTheme="minorHAnsi" w:hAnsiTheme="minorHAnsi" w:cstheme="minorHAnsi"/>
          <w:sz w:val="24"/>
          <w:szCs w:val="24"/>
          <w:lang w:val="en"/>
        </w:rPr>
        <w:t>SMC</w:t>
      </w:r>
      <w:r w:rsidRPr="00913076">
        <w:rPr>
          <w:rFonts w:asciiTheme="minorHAnsi" w:hAnsiTheme="minorHAnsi" w:cstheme="minorHAnsi"/>
          <w:sz w:val="24"/>
          <w:szCs w:val="24"/>
          <w:lang w:val="en"/>
        </w:rPr>
        <w:t xml:space="preserve"> cards by parents and caregivers of children.</w:t>
      </w:r>
    </w:p>
    <w:p w14:paraId="2C597301" w14:textId="77777777" w:rsidR="002F4BD9" w:rsidRPr="00913076" w:rsidRDefault="002F4BD9" w:rsidP="00330C7E">
      <w:pPr>
        <w:pStyle w:val="Paragraphedeliste1"/>
        <w:numPr>
          <w:ilvl w:val="0"/>
          <w:numId w:val="26"/>
        </w:numPr>
        <w:jc w:val="both"/>
        <w:rPr>
          <w:rFonts w:asciiTheme="minorHAnsi" w:hAnsiTheme="minorHAnsi" w:cstheme="minorHAnsi"/>
          <w:sz w:val="24"/>
          <w:szCs w:val="24"/>
        </w:rPr>
      </w:pPr>
      <w:r w:rsidRPr="00913076">
        <w:rPr>
          <w:rFonts w:asciiTheme="minorHAnsi" w:hAnsiTheme="minorHAnsi" w:cstheme="minorHAnsi"/>
          <w:sz w:val="24"/>
          <w:szCs w:val="24"/>
          <w:lang w:val="en"/>
        </w:rPr>
        <w:t>To assess the l</w:t>
      </w:r>
      <w:r w:rsidR="009F38DB" w:rsidRPr="00913076">
        <w:rPr>
          <w:rFonts w:asciiTheme="minorHAnsi" w:hAnsiTheme="minorHAnsi" w:cstheme="minorHAnsi"/>
          <w:sz w:val="24"/>
          <w:szCs w:val="24"/>
          <w:lang w:val="en"/>
        </w:rPr>
        <w:t>evel</w:t>
      </w:r>
      <w:r w:rsidRPr="00913076">
        <w:rPr>
          <w:rFonts w:asciiTheme="minorHAnsi" w:hAnsiTheme="minorHAnsi" w:cstheme="minorHAnsi"/>
          <w:sz w:val="24"/>
          <w:szCs w:val="24"/>
          <w:lang w:val="en"/>
        </w:rPr>
        <w:t xml:space="preserve"> </w:t>
      </w:r>
      <w:r w:rsidR="009F38DB" w:rsidRPr="00913076">
        <w:rPr>
          <w:rFonts w:asciiTheme="minorHAnsi" w:hAnsiTheme="minorHAnsi" w:cstheme="minorHAnsi"/>
          <w:sz w:val="24"/>
          <w:szCs w:val="24"/>
          <w:lang w:val="en"/>
        </w:rPr>
        <w:t xml:space="preserve">of </w:t>
      </w:r>
      <w:r w:rsidRPr="00913076">
        <w:rPr>
          <w:rFonts w:asciiTheme="minorHAnsi" w:hAnsiTheme="minorHAnsi" w:cstheme="minorHAnsi"/>
          <w:sz w:val="24"/>
          <w:szCs w:val="24"/>
          <w:lang w:val="en"/>
        </w:rPr>
        <w:t xml:space="preserve">SMC </w:t>
      </w:r>
      <w:r w:rsidR="009F38DB" w:rsidRPr="00913076">
        <w:rPr>
          <w:rFonts w:asciiTheme="minorHAnsi" w:hAnsiTheme="minorHAnsi" w:cstheme="minorHAnsi"/>
          <w:sz w:val="24"/>
          <w:szCs w:val="24"/>
          <w:lang w:val="en"/>
        </w:rPr>
        <w:t>awareness</w:t>
      </w:r>
      <w:r w:rsidRPr="00913076">
        <w:rPr>
          <w:rFonts w:asciiTheme="minorHAnsi" w:hAnsiTheme="minorHAnsi" w:cstheme="minorHAnsi"/>
          <w:sz w:val="24"/>
          <w:szCs w:val="24"/>
          <w:lang w:val="en"/>
        </w:rPr>
        <w:t xml:space="preserve">, knowledge and perceptions </w:t>
      </w:r>
      <w:bookmarkStart w:id="0" w:name="_Hlk108787419"/>
      <w:r w:rsidR="009F38DB" w:rsidRPr="00913076">
        <w:rPr>
          <w:rFonts w:asciiTheme="minorHAnsi" w:hAnsiTheme="minorHAnsi" w:cstheme="minorHAnsi"/>
          <w:sz w:val="24"/>
          <w:szCs w:val="24"/>
          <w:lang w:val="en"/>
        </w:rPr>
        <w:t>among parents and caregivers of children</w:t>
      </w:r>
      <w:bookmarkEnd w:id="0"/>
      <w:r w:rsidR="009F38DB" w:rsidRPr="00913076">
        <w:rPr>
          <w:rFonts w:asciiTheme="minorHAnsi" w:hAnsiTheme="minorHAnsi" w:cstheme="minorHAnsi"/>
          <w:sz w:val="24"/>
          <w:szCs w:val="24"/>
          <w:lang w:val="en"/>
        </w:rPr>
        <w:t>.</w:t>
      </w:r>
    </w:p>
    <w:p w14:paraId="591514F1" w14:textId="135B9309" w:rsidR="002F4BD9" w:rsidRPr="00913076" w:rsidRDefault="002F4BD9" w:rsidP="00330C7E">
      <w:pPr>
        <w:pStyle w:val="Paragraphedeliste1"/>
        <w:numPr>
          <w:ilvl w:val="0"/>
          <w:numId w:val="26"/>
        </w:numPr>
        <w:jc w:val="both"/>
        <w:rPr>
          <w:rFonts w:asciiTheme="minorHAnsi" w:hAnsiTheme="minorHAnsi" w:cstheme="minorHAnsi"/>
          <w:sz w:val="24"/>
          <w:szCs w:val="24"/>
        </w:rPr>
      </w:pPr>
      <w:r w:rsidRPr="00913076">
        <w:rPr>
          <w:rFonts w:asciiTheme="minorHAnsi" w:hAnsiTheme="minorHAnsi" w:cstheme="minorHAnsi"/>
          <w:sz w:val="24"/>
          <w:szCs w:val="24"/>
        </w:rPr>
        <w:t>To assess the level of access to other malaria preventive interventions such as mosquito nets and indoor residual spraying in households.</w:t>
      </w:r>
    </w:p>
    <w:p w14:paraId="0A94AAD4" w14:textId="388D76E0" w:rsidR="00312368" w:rsidRPr="00913076" w:rsidRDefault="005243FD" w:rsidP="00330C7E">
      <w:pPr>
        <w:pStyle w:val="Bodytext10"/>
        <w:spacing w:after="100" w:line="319" w:lineRule="auto"/>
        <w:jc w:val="both"/>
        <w:rPr>
          <w:rFonts w:asciiTheme="minorHAnsi" w:hAnsiTheme="minorHAnsi" w:cstheme="minorHAnsi"/>
          <w:sz w:val="24"/>
          <w:szCs w:val="24"/>
        </w:rPr>
      </w:pPr>
      <w:r w:rsidRPr="00913076">
        <w:rPr>
          <w:rStyle w:val="Bodytext1"/>
          <w:rFonts w:asciiTheme="minorHAnsi" w:hAnsiTheme="minorHAnsi" w:cstheme="minorHAnsi"/>
          <w:sz w:val="24"/>
          <w:szCs w:val="24"/>
        </w:rPr>
        <w:t>The key indicators that will be assessed include:</w:t>
      </w:r>
    </w:p>
    <w:p w14:paraId="046A33E7" w14:textId="2B0F8148" w:rsidR="00312368" w:rsidRPr="00913076" w:rsidRDefault="005243FD" w:rsidP="00330C7E">
      <w:pPr>
        <w:pStyle w:val="Bodytext10"/>
        <w:numPr>
          <w:ilvl w:val="0"/>
          <w:numId w:val="18"/>
        </w:numPr>
        <w:tabs>
          <w:tab w:val="left" w:pos="319"/>
        </w:tabs>
        <w:spacing w:after="100" w:line="319" w:lineRule="auto"/>
        <w:jc w:val="both"/>
        <w:rPr>
          <w:rFonts w:asciiTheme="minorHAnsi" w:hAnsiTheme="minorHAnsi" w:cstheme="minorHAnsi"/>
          <w:sz w:val="24"/>
          <w:szCs w:val="24"/>
        </w:rPr>
      </w:pPr>
      <w:r w:rsidRPr="00913076">
        <w:rPr>
          <w:rStyle w:val="Bodytext1"/>
          <w:rFonts w:asciiTheme="minorHAnsi" w:hAnsiTheme="minorHAnsi" w:cstheme="minorHAnsi"/>
          <w:sz w:val="24"/>
          <w:szCs w:val="24"/>
        </w:rPr>
        <w:t xml:space="preserve">Proportion of households with eligible children visited by a community </w:t>
      </w:r>
      <w:r w:rsidR="009302C9" w:rsidRPr="00913076">
        <w:rPr>
          <w:rStyle w:val="Bodytext1"/>
          <w:rFonts w:asciiTheme="minorHAnsi" w:hAnsiTheme="minorHAnsi" w:cstheme="minorHAnsi"/>
          <w:sz w:val="24"/>
          <w:szCs w:val="24"/>
        </w:rPr>
        <w:t>distributor.</w:t>
      </w:r>
    </w:p>
    <w:p w14:paraId="7955D0D3" w14:textId="3A8DAF89" w:rsidR="00312368" w:rsidRPr="00913076" w:rsidRDefault="005243FD" w:rsidP="00330C7E">
      <w:pPr>
        <w:pStyle w:val="Bodytext10"/>
        <w:numPr>
          <w:ilvl w:val="0"/>
          <w:numId w:val="18"/>
        </w:numPr>
        <w:tabs>
          <w:tab w:val="left" w:pos="334"/>
        </w:tabs>
        <w:spacing w:after="100" w:line="317" w:lineRule="auto"/>
        <w:jc w:val="both"/>
        <w:rPr>
          <w:rFonts w:asciiTheme="minorHAnsi" w:hAnsiTheme="minorHAnsi" w:cstheme="minorHAnsi"/>
          <w:sz w:val="24"/>
          <w:szCs w:val="24"/>
        </w:rPr>
      </w:pPr>
      <w:r w:rsidRPr="00913076">
        <w:rPr>
          <w:rStyle w:val="Bodytext1"/>
          <w:rFonts w:asciiTheme="minorHAnsi" w:hAnsiTheme="minorHAnsi" w:cstheme="minorHAnsi"/>
          <w:sz w:val="24"/>
          <w:szCs w:val="24"/>
        </w:rPr>
        <w:t>Proportion of Day 1 SPAQ administered by community distributors to eligible children (in terms of children who received Day 1 SPAQ at least once during 202</w:t>
      </w:r>
      <w:r w:rsidR="002E4233" w:rsidRPr="00913076">
        <w:rPr>
          <w:rStyle w:val="Bodytext1"/>
          <w:rFonts w:asciiTheme="minorHAnsi" w:hAnsiTheme="minorHAnsi" w:cstheme="minorHAnsi"/>
          <w:sz w:val="24"/>
          <w:szCs w:val="24"/>
        </w:rPr>
        <w:t>3</w:t>
      </w:r>
      <w:r w:rsidRPr="00913076">
        <w:rPr>
          <w:rStyle w:val="Bodytext1"/>
          <w:rFonts w:asciiTheme="minorHAnsi" w:hAnsiTheme="minorHAnsi" w:cstheme="minorHAnsi"/>
          <w:sz w:val="24"/>
          <w:szCs w:val="24"/>
        </w:rPr>
        <w:t>/2</w:t>
      </w:r>
      <w:r w:rsidR="002E4233" w:rsidRPr="00913076">
        <w:rPr>
          <w:rStyle w:val="Bodytext1"/>
          <w:rFonts w:asciiTheme="minorHAnsi" w:hAnsiTheme="minorHAnsi" w:cstheme="minorHAnsi"/>
          <w:sz w:val="24"/>
          <w:szCs w:val="24"/>
        </w:rPr>
        <w:t>4</w:t>
      </w:r>
      <w:r w:rsidRPr="00913076">
        <w:rPr>
          <w:rStyle w:val="Bodytext1"/>
          <w:rFonts w:asciiTheme="minorHAnsi" w:hAnsiTheme="minorHAnsi" w:cstheme="minorHAnsi"/>
          <w:sz w:val="24"/>
          <w:szCs w:val="24"/>
        </w:rPr>
        <w:t>, and by monthly cycle)</w:t>
      </w:r>
    </w:p>
    <w:p w14:paraId="6C39196C" w14:textId="77777777" w:rsidR="00312368" w:rsidRPr="00913076" w:rsidRDefault="005243FD" w:rsidP="00330C7E">
      <w:pPr>
        <w:pStyle w:val="Bodytext10"/>
        <w:numPr>
          <w:ilvl w:val="0"/>
          <w:numId w:val="18"/>
        </w:numPr>
        <w:tabs>
          <w:tab w:val="left" w:pos="334"/>
        </w:tabs>
        <w:spacing w:after="100" w:line="317" w:lineRule="auto"/>
        <w:jc w:val="both"/>
        <w:rPr>
          <w:rFonts w:asciiTheme="minorHAnsi" w:hAnsiTheme="minorHAnsi" w:cstheme="minorHAnsi"/>
          <w:sz w:val="24"/>
          <w:szCs w:val="24"/>
        </w:rPr>
      </w:pPr>
      <w:bookmarkStart w:id="1" w:name="_Hlk127267092"/>
      <w:r w:rsidRPr="00913076">
        <w:rPr>
          <w:rStyle w:val="Bodytext1"/>
          <w:rFonts w:asciiTheme="minorHAnsi" w:hAnsiTheme="minorHAnsi" w:cstheme="minorHAnsi"/>
          <w:sz w:val="24"/>
          <w:szCs w:val="24"/>
        </w:rPr>
        <w:t xml:space="preserve">Proportion of eligible children who received a full three-day course of SPAQ (including Day 2 and Day 3 AQ) </w:t>
      </w:r>
      <w:r w:rsidRPr="00913076">
        <w:rPr>
          <w:rStyle w:val="Bodytext1"/>
          <w:rFonts w:asciiTheme="minorHAnsi" w:hAnsiTheme="minorHAnsi" w:cstheme="minorHAnsi"/>
          <w:i/>
          <w:iCs/>
          <w:sz w:val="24"/>
          <w:szCs w:val="24"/>
        </w:rPr>
        <w:t>{among eligible children who received Day 1 SPAQ)</w:t>
      </w:r>
    </w:p>
    <w:bookmarkEnd w:id="1"/>
    <w:p w14:paraId="65913E4A" w14:textId="77777777" w:rsidR="00312368" w:rsidRPr="00913076" w:rsidRDefault="005243FD" w:rsidP="00330C7E">
      <w:pPr>
        <w:pStyle w:val="Bodytext10"/>
        <w:numPr>
          <w:ilvl w:val="0"/>
          <w:numId w:val="18"/>
        </w:numPr>
        <w:tabs>
          <w:tab w:val="left" w:pos="334"/>
        </w:tabs>
        <w:spacing w:after="100" w:line="317" w:lineRule="auto"/>
        <w:jc w:val="both"/>
        <w:rPr>
          <w:rFonts w:asciiTheme="minorHAnsi" w:hAnsiTheme="minorHAnsi" w:cstheme="minorHAnsi"/>
          <w:sz w:val="24"/>
          <w:szCs w:val="24"/>
        </w:rPr>
      </w:pPr>
      <w:r w:rsidRPr="00913076">
        <w:rPr>
          <w:rStyle w:val="Bodytext1"/>
          <w:rFonts w:asciiTheme="minorHAnsi" w:hAnsiTheme="minorHAnsi" w:cstheme="minorHAnsi"/>
          <w:sz w:val="24"/>
          <w:szCs w:val="24"/>
        </w:rPr>
        <w:t xml:space="preserve">Proportion of SPAQ administered by community distributors by DOT </w:t>
      </w:r>
      <w:r w:rsidRPr="00913076">
        <w:rPr>
          <w:rStyle w:val="Bodytext1"/>
          <w:rFonts w:asciiTheme="minorHAnsi" w:hAnsiTheme="minorHAnsi" w:cstheme="minorHAnsi"/>
          <w:i/>
          <w:iCs/>
          <w:sz w:val="24"/>
          <w:szCs w:val="24"/>
        </w:rPr>
        <w:t>(among eligible children who received Day 1 SPAQ)</w:t>
      </w:r>
    </w:p>
    <w:p w14:paraId="100F990B" w14:textId="306AFD9E" w:rsidR="00312368" w:rsidRPr="00913076" w:rsidRDefault="005243FD" w:rsidP="00330C7E">
      <w:pPr>
        <w:pStyle w:val="Bodytext10"/>
        <w:numPr>
          <w:ilvl w:val="0"/>
          <w:numId w:val="18"/>
        </w:numPr>
        <w:tabs>
          <w:tab w:val="left" w:pos="334"/>
        </w:tabs>
        <w:spacing w:after="0" w:line="324" w:lineRule="auto"/>
        <w:jc w:val="both"/>
        <w:rPr>
          <w:rStyle w:val="Bodytext1"/>
          <w:rFonts w:asciiTheme="minorHAnsi" w:hAnsiTheme="minorHAnsi" w:cstheme="minorHAnsi"/>
          <w:sz w:val="24"/>
          <w:szCs w:val="24"/>
        </w:rPr>
      </w:pPr>
      <w:r w:rsidRPr="00913076">
        <w:rPr>
          <w:rStyle w:val="Bodytext1"/>
          <w:rFonts w:asciiTheme="minorHAnsi" w:hAnsiTheme="minorHAnsi" w:cstheme="minorHAnsi"/>
          <w:sz w:val="24"/>
          <w:szCs w:val="24"/>
        </w:rPr>
        <w:t>Proportion of Day 1 SPAQ received per eligible child over the course of the SMC round (including proportion of children who received Day 1 SPAQ during all four SMC cycles)</w:t>
      </w:r>
    </w:p>
    <w:p w14:paraId="13907077" w14:textId="2B76AD68" w:rsidR="00AD33C7" w:rsidRPr="00913076" w:rsidRDefault="00AD33C7" w:rsidP="00330C7E">
      <w:pPr>
        <w:pStyle w:val="Bodytext10"/>
        <w:numPr>
          <w:ilvl w:val="0"/>
          <w:numId w:val="18"/>
        </w:numPr>
        <w:tabs>
          <w:tab w:val="left" w:pos="334"/>
        </w:tabs>
        <w:spacing w:after="500" w:line="324" w:lineRule="auto"/>
        <w:jc w:val="both"/>
        <w:rPr>
          <w:rFonts w:asciiTheme="minorHAnsi" w:hAnsiTheme="minorHAnsi" w:cstheme="minorHAnsi"/>
          <w:sz w:val="24"/>
          <w:szCs w:val="24"/>
        </w:rPr>
      </w:pPr>
      <w:r w:rsidRPr="00913076">
        <w:rPr>
          <w:rStyle w:val="Bodytext1"/>
          <w:rFonts w:asciiTheme="minorHAnsi" w:hAnsiTheme="minorHAnsi" w:cstheme="minorHAnsi"/>
          <w:sz w:val="24"/>
          <w:szCs w:val="24"/>
        </w:rPr>
        <w:t xml:space="preserve">Proportion of ineligible children (age 60-119 months) who received SPAQ </w:t>
      </w:r>
      <w:r w:rsidR="004A78F8" w:rsidRPr="00913076">
        <w:rPr>
          <w:rStyle w:val="Bodytext1"/>
          <w:rFonts w:asciiTheme="minorHAnsi" w:hAnsiTheme="minorHAnsi" w:cstheme="minorHAnsi"/>
          <w:sz w:val="24"/>
          <w:szCs w:val="24"/>
        </w:rPr>
        <w:t>during the last cycle of the round.</w:t>
      </w:r>
    </w:p>
    <w:p w14:paraId="416EEDA6" w14:textId="77777777" w:rsidR="00312368" w:rsidRPr="00913076" w:rsidRDefault="005243FD" w:rsidP="00330C7E">
      <w:pPr>
        <w:pStyle w:val="Bodytext10"/>
        <w:spacing w:after="0" w:line="319" w:lineRule="auto"/>
        <w:jc w:val="both"/>
        <w:rPr>
          <w:rFonts w:asciiTheme="minorHAnsi" w:hAnsiTheme="minorHAnsi" w:cstheme="minorHAnsi"/>
          <w:color w:val="00B050"/>
          <w:sz w:val="24"/>
          <w:szCs w:val="24"/>
        </w:rPr>
      </w:pPr>
      <w:r w:rsidRPr="00913076">
        <w:rPr>
          <w:rStyle w:val="Bodytext1"/>
          <w:rFonts w:asciiTheme="minorHAnsi" w:hAnsiTheme="minorHAnsi" w:cstheme="minorHAnsi"/>
          <w:b/>
          <w:bCs/>
          <w:color w:val="00B050"/>
          <w:sz w:val="24"/>
          <w:szCs w:val="24"/>
        </w:rPr>
        <w:t>Quality</w:t>
      </w:r>
    </w:p>
    <w:p w14:paraId="579FCB0D" w14:textId="77777777" w:rsidR="00312368" w:rsidRPr="00913076" w:rsidRDefault="005243FD" w:rsidP="00330C7E">
      <w:pPr>
        <w:pStyle w:val="Bodytext10"/>
        <w:spacing w:after="0" w:line="336" w:lineRule="auto"/>
        <w:jc w:val="both"/>
        <w:rPr>
          <w:rFonts w:asciiTheme="minorHAnsi" w:hAnsiTheme="minorHAnsi" w:cstheme="minorHAnsi"/>
          <w:sz w:val="24"/>
          <w:szCs w:val="24"/>
        </w:rPr>
      </w:pPr>
      <w:r w:rsidRPr="00913076">
        <w:rPr>
          <w:rStyle w:val="Bodytext1"/>
          <w:rFonts w:asciiTheme="minorHAnsi" w:hAnsiTheme="minorHAnsi" w:cstheme="minorHAnsi"/>
          <w:sz w:val="24"/>
          <w:szCs w:val="24"/>
        </w:rPr>
        <w:t>Measuring the quality of SMC implementation is essential to determining the effectiveness of SMC and delivering a safe, robust intervention. Quality SMC delivery ensures the safe administration of SPAQ to eligible children each month during the period of high seasonal malaria transmission. The current SMC treatment course consists of a co-blistered pack of 1 dispersible tablet of sulfadoxine-pyrimethamine (SP) plus 3 dispersible tablets of amodiaquine (AQ) or SPAQ.</w:t>
      </w:r>
    </w:p>
    <w:p w14:paraId="283D9215" w14:textId="77777777" w:rsidR="00312368" w:rsidRPr="00913076" w:rsidRDefault="005243FD" w:rsidP="00330C7E">
      <w:pPr>
        <w:jc w:val="both"/>
        <w:rPr>
          <w:rFonts w:asciiTheme="minorHAnsi" w:hAnsiTheme="minorHAnsi" w:cstheme="minorHAnsi"/>
        </w:rPr>
      </w:pPr>
      <w:r w:rsidRPr="00913076">
        <w:rPr>
          <w:rFonts w:asciiTheme="minorHAnsi" w:hAnsiTheme="minorHAnsi" w:cstheme="minorHAnsi"/>
          <w:noProof/>
        </w:rPr>
        <w:drawing>
          <wp:inline distT="0" distB="0" distL="0" distR="0" wp14:anchorId="0C9947BA" wp14:editId="6F615580">
            <wp:extent cx="1090930" cy="536575"/>
            <wp:effectExtent l="0" t="0" r="0" b="0"/>
            <wp:docPr id="71" name="Picutre 71"/>
            <wp:cNvGraphicFramePr/>
            <a:graphic xmlns:a="http://schemas.openxmlformats.org/drawingml/2006/main">
              <a:graphicData uri="http://schemas.openxmlformats.org/drawingml/2006/picture">
                <pic:pic xmlns:pic="http://schemas.openxmlformats.org/drawingml/2006/picture">
                  <pic:nvPicPr>
                    <pic:cNvPr id="71" name="Picture 71"/>
                    <pic:cNvPicPr/>
                  </pic:nvPicPr>
                  <pic:blipFill>
                    <a:blip r:embed="rId7"/>
                    <a:stretch/>
                  </pic:blipFill>
                  <pic:spPr>
                    <a:xfrm>
                      <a:off x="0" y="0"/>
                      <a:ext cx="1090930" cy="536575"/>
                    </a:xfrm>
                    <a:prstGeom prst="rect">
                      <a:avLst/>
                    </a:prstGeom>
                  </pic:spPr>
                </pic:pic>
              </a:graphicData>
            </a:graphic>
          </wp:inline>
        </w:drawing>
      </w:r>
    </w:p>
    <w:p w14:paraId="5D19F9BB" w14:textId="77777777" w:rsidR="00312368" w:rsidRPr="00913076" w:rsidRDefault="005243FD" w:rsidP="00330C7E">
      <w:pPr>
        <w:pStyle w:val="Picturecaption10"/>
        <w:spacing w:after="240"/>
        <w:ind w:left="278"/>
        <w:jc w:val="both"/>
        <w:rPr>
          <w:rFonts w:asciiTheme="minorHAnsi" w:hAnsiTheme="minorHAnsi" w:cstheme="minorHAnsi"/>
          <w:sz w:val="24"/>
          <w:szCs w:val="24"/>
        </w:rPr>
      </w:pPr>
      <w:r w:rsidRPr="00913076">
        <w:rPr>
          <w:rStyle w:val="Picturecaption1"/>
          <w:rFonts w:asciiTheme="minorHAnsi" w:eastAsia="Liberation Sans" w:hAnsiTheme="minorHAnsi" w:cstheme="minorHAnsi"/>
          <w:b/>
          <w:bCs/>
          <w:color w:val="000000"/>
          <w:sz w:val="24"/>
          <w:szCs w:val="24"/>
        </w:rPr>
        <w:t>SP AQ</w:t>
      </w:r>
    </w:p>
    <w:p w14:paraId="488E6D6C" w14:textId="77777777" w:rsidR="00312368" w:rsidRPr="00913076" w:rsidRDefault="00312368" w:rsidP="00330C7E">
      <w:pPr>
        <w:spacing w:after="240" w:line="1" w:lineRule="exact"/>
        <w:jc w:val="both"/>
        <w:rPr>
          <w:rFonts w:asciiTheme="minorHAnsi" w:hAnsiTheme="minorHAnsi" w:cstheme="minorHAnsi"/>
        </w:rPr>
      </w:pPr>
    </w:p>
    <w:p w14:paraId="1B08B70E" w14:textId="77777777" w:rsidR="00312368" w:rsidRPr="00913076" w:rsidRDefault="00000000" w:rsidP="00330C7E">
      <w:pPr>
        <w:pStyle w:val="Bodytext30"/>
        <w:spacing w:after="240" w:line="240" w:lineRule="auto"/>
        <w:jc w:val="both"/>
        <w:rPr>
          <w:rFonts w:asciiTheme="minorHAnsi" w:hAnsiTheme="minorHAnsi" w:cstheme="minorHAnsi"/>
          <w:sz w:val="24"/>
          <w:szCs w:val="24"/>
        </w:rPr>
      </w:pPr>
      <w:hyperlink r:id="rId8" w:history="1">
        <w:r w:rsidR="005243FD" w:rsidRPr="00913076">
          <w:rPr>
            <w:rStyle w:val="Bodytext3"/>
            <w:rFonts w:asciiTheme="minorHAnsi" w:hAnsiTheme="minorHAnsi" w:cstheme="minorHAnsi"/>
            <w:sz w:val="24"/>
            <w:szCs w:val="24"/>
          </w:rPr>
          <w:t>https://www.who.int/malaria/publications/atoz/9789241504737/en/</w:t>
        </w:r>
      </w:hyperlink>
    </w:p>
    <w:p w14:paraId="3863605D" w14:textId="77777777" w:rsidR="00312368" w:rsidRPr="00913076" w:rsidRDefault="005243FD" w:rsidP="00330C7E">
      <w:pPr>
        <w:pStyle w:val="Bodytext10"/>
        <w:spacing w:after="240"/>
        <w:jc w:val="both"/>
        <w:rPr>
          <w:rFonts w:asciiTheme="minorHAnsi" w:hAnsiTheme="minorHAnsi" w:cstheme="minorHAnsi"/>
          <w:sz w:val="24"/>
          <w:szCs w:val="24"/>
        </w:rPr>
      </w:pPr>
      <w:r w:rsidRPr="00913076">
        <w:rPr>
          <w:rStyle w:val="Bodytext1"/>
          <w:rFonts w:asciiTheme="minorHAnsi" w:hAnsiTheme="minorHAnsi" w:cstheme="minorHAnsi"/>
          <w:sz w:val="24"/>
          <w:szCs w:val="24"/>
        </w:rPr>
        <w:t>A full 3-day course of SPAQ^ administered each cycle includes 1 dose of SP and AQ taken together on Day 1 under directly observed therapy (DOT), and one dose of AQ given once each day of Days 2 and 3. There are two dosages of SMC based on the child's age:</w:t>
      </w:r>
    </w:p>
    <w:p w14:paraId="5774A62D" w14:textId="77777777" w:rsidR="00312368" w:rsidRPr="00913076" w:rsidRDefault="005243FD" w:rsidP="00330C7E">
      <w:pPr>
        <w:pStyle w:val="Bodytext10"/>
        <w:numPr>
          <w:ilvl w:val="0"/>
          <w:numId w:val="19"/>
        </w:numPr>
        <w:tabs>
          <w:tab w:val="left" w:pos="656"/>
        </w:tabs>
        <w:spacing w:after="240"/>
        <w:ind w:firstLine="320"/>
        <w:jc w:val="both"/>
        <w:rPr>
          <w:rFonts w:asciiTheme="minorHAnsi" w:hAnsiTheme="minorHAnsi" w:cstheme="minorHAnsi"/>
          <w:sz w:val="24"/>
          <w:szCs w:val="24"/>
        </w:rPr>
      </w:pPr>
      <w:r w:rsidRPr="00913076">
        <w:rPr>
          <w:rStyle w:val="Bodytext1"/>
          <w:rFonts w:asciiTheme="minorHAnsi" w:hAnsiTheme="minorHAnsi" w:cstheme="minorHAnsi"/>
          <w:sz w:val="24"/>
          <w:szCs w:val="24"/>
        </w:rPr>
        <w:t xml:space="preserve">3 </w:t>
      </w:r>
      <w:r w:rsidRPr="00913076">
        <w:rPr>
          <w:rStyle w:val="Bodytext1"/>
          <w:rFonts w:asciiTheme="minorHAnsi" w:hAnsiTheme="minorHAnsi" w:cstheme="minorHAnsi"/>
          <w:b/>
          <w:bCs/>
          <w:sz w:val="24"/>
          <w:szCs w:val="24"/>
        </w:rPr>
        <w:t xml:space="preserve">to &lt;12 months </w:t>
      </w:r>
      <w:r w:rsidRPr="00913076">
        <w:rPr>
          <w:rStyle w:val="Bodytext1"/>
          <w:rFonts w:asciiTheme="minorHAnsi" w:hAnsiTheme="minorHAnsi" w:cstheme="minorHAnsi"/>
          <w:sz w:val="24"/>
          <w:szCs w:val="24"/>
        </w:rPr>
        <w:t>[SP 250 mg/12.5 mg and AQ76.5 mg] in the orange blister pack</w:t>
      </w:r>
    </w:p>
    <w:p w14:paraId="3117F6BF" w14:textId="77777777" w:rsidR="00312368" w:rsidRPr="00913076" w:rsidRDefault="005243FD" w:rsidP="00330C7E">
      <w:pPr>
        <w:spacing w:after="240"/>
        <w:jc w:val="both"/>
        <w:rPr>
          <w:rFonts w:asciiTheme="minorHAnsi" w:hAnsiTheme="minorHAnsi" w:cstheme="minorHAnsi"/>
        </w:rPr>
      </w:pPr>
      <w:r w:rsidRPr="00913076">
        <w:rPr>
          <w:rFonts w:asciiTheme="minorHAnsi" w:hAnsiTheme="minorHAnsi" w:cstheme="minorHAnsi"/>
          <w:noProof/>
        </w:rPr>
        <w:drawing>
          <wp:inline distT="0" distB="0" distL="0" distR="0" wp14:anchorId="041A12C7" wp14:editId="774F18C2">
            <wp:extent cx="944880" cy="445135"/>
            <wp:effectExtent l="0" t="0" r="0" b="0"/>
            <wp:docPr id="72" name="Picutre 72"/>
            <wp:cNvGraphicFramePr/>
            <a:graphic xmlns:a="http://schemas.openxmlformats.org/drawingml/2006/main">
              <a:graphicData uri="http://schemas.openxmlformats.org/drawingml/2006/picture">
                <pic:pic xmlns:pic="http://schemas.openxmlformats.org/drawingml/2006/picture">
                  <pic:nvPicPr>
                    <pic:cNvPr id="72" name="Picture 72"/>
                    <pic:cNvPicPr/>
                  </pic:nvPicPr>
                  <pic:blipFill>
                    <a:blip r:embed="rId9"/>
                    <a:stretch/>
                  </pic:blipFill>
                  <pic:spPr>
                    <a:xfrm>
                      <a:off x="0" y="0"/>
                      <a:ext cx="944880" cy="445135"/>
                    </a:xfrm>
                    <a:prstGeom prst="rect">
                      <a:avLst/>
                    </a:prstGeom>
                  </pic:spPr>
                </pic:pic>
              </a:graphicData>
            </a:graphic>
          </wp:inline>
        </w:drawing>
      </w:r>
    </w:p>
    <w:p w14:paraId="7F61D486" w14:textId="77777777" w:rsidR="00312368" w:rsidRPr="00913076" w:rsidRDefault="00312368" w:rsidP="00330C7E">
      <w:pPr>
        <w:spacing w:after="240" w:line="1" w:lineRule="exact"/>
        <w:jc w:val="both"/>
        <w:rPr>
          <w:rFonts w:asciiTheme="minorHAnsi" w:hAnsiTheme="minorHAnsi" w:cstheme="minorHAnsi"/>
        </w:rPr>
      </w:pPr>
    </w:p>
    <w:p w14:paraId="67232265" w14:textId="77777777" w:rsidR="00312368" w:rsidRPr="00913076" w:rsidRDefault="005243FD" w:rsidP="00330C7E">
      <w:pPr>
        <w:pStyle w:val="Bodytext10"/>
        <w:numPr>
          <w:ilvl w:val="0"/>
          <w:numId w:val="19"/>
        </w:numPr>
        <w:tabs>
          <w:tab w:val="left" w:pos="656"/>
        </w:tabs>
        <w:spacing w:after="240" w:line="295" w:lineRule="auto"/>
        <w:ind w:firstLine="320"/>
        <w:jc w:val="both"/>
        <w:rPr>
          <w:rFonts w:asciiTheme="minorHAnsi" w:hAnsiTheme="minorHAnsi" w:cstheme="minorHAnsi"/>
          <w:sz w:val="24"/>
          <w:szCs w:val="24"/>
        </w:rPr>
      </w:pPr>
      <w:r w:rsidRPr="00913076">
        <w:rPr>
          <w:rStyle w:val="Bodytext1"/>
          <w:rFonts w:asciiTheme="minorHAnsi" w:hAnsiTheme="minorHAnsi" w:cstheme="minorHAnsi"/>
          <w:b/>
          <w:bCs/>
          <w:sz w:val="24"/>
          <w:szCs w:val="24"/>
        </w:rPr>
        <w:t xml:space="preserve">12 to 59 months </w:t>
      </w:r>
      <w:r w:rsidRPr="00913076">
        <w:rPr>
          <w:rStyle w:val="Bodytext1"/>
          <w:rFonts w:asciiTheme="minorHAnsi" w:hAnsiTheme="minorHAnsi" w:cstheme="minorHAnsi"/>
          <w:sz w:val="24"/>
          <w:szCs w:val="24"/>
        </w:rPr>
        <w:t>[SP 500 mg/25 mg and AQ 153 mg] in the red blister pack</w:t>
      </w:r>
    </w:p>
    <w:p w14:paraId="49EB7780" w14:textId="77777777" w:rsidR="00312368" w:rsidRPr="00913076" w:rsidRDefault="005243FD" w:rsidP="00330C7E">
      <w:pPr>
        <w:pStyle w:val="Other10"/>
        <w:pBdr>
          <w:bottom w:val="single" w:sz="4" w:space="0" w:color="auto"/>
        </w:pBdr>
        <w:spacing w:after="320" w:line="240" w:lineRule="auto"/>
        <w:jc w:val="both"/>
        <w:rPr>
          <w:rFonts w:asciiTheme="minorHAnsi" w:hAnsiTheme="minorHAnsi" w:cstheme="minorHAnsi"/>
          <w:sz w:val="24"/>
          <w:szCs w:val="24"/>
        </w:rPr>
      </w:pPr>
      <w:r w:rsidRPr="00913076">
        <w:rPr>
          <w:rStyle w:val="Other1"/>
          <w:rFonts w:asciiTheme="minorHAnsi" w:eastAsia="Liberation Serif" w:hAnsiTheme="minorHAnsi" w:cstheme="minorHAnsi"/>
          <w:color w:val="CC184C"/>
          <w:sz w:val="24"/>
          <w:szCs w:val="24"/>
        </w:rPr>
        <w:t>»</w:t>
      </w:r>
    </w:p>
    <w:p w14:paraId="6954382C" w14:textId="207109D2" w:rsidR="00312368" w:rsidRPr="00913076" w:rsidRDefault="005243FD" w:rsidP="00330C7E">
      <w:pPr>
        <w:pStyle w:val="Bodytext10"/>
        <w:spacing w:after="540" w:line="360" w:lineRule="auto"/>
        <w:jc w:val="both"/>
        <w:rPr>
          <w:rFonts w:asciiTheme="minorHAnsi" w:hAnsiTheme="minorHAnsi" w:cstheme="minorHAnsi"/>
          <w:sz w:val="24"/>
          <w:szCs w:val="24"/>
        </w:rPr>
      </w:pPr>
      <w:r w:rsidRPr="00913076">
        <w:rPr>
          <w:rStyle w:val="Bodytext1"/>
          <w:rFonts w:asciiTheme="minorHAnsi" w:hAnsiTheme="minorHAnsi" w:cstheme="minorHAnsi"/>
          <w:sz w:val="24"/>
          <w:szCs w:val="24"/>
        </w:rPr>
        <w:t xml:space="preserve">For maximum protection, and to minimize selection of drug resistance, eligible children 3 to 59 months should receive the complete 3-day course of SPAQ each monthly cycle to cover the full duration of the transmission season (SMC round). However, there are logistical, service delivery and uptake challenges that can compromise the coverage, quality and efficacy of SMC. These challenges could ultimately affect the </w:t>
      </w:r>
      <w:proofErr w:type="spellStart"/>
      <w:r w:rsidRPr="00913076">
        <w:rPr>
          <w:rStyle w:val="Bodytext1"/>
          <w:rFonts w:asciiTheme="minorHAnsi" w:hAnsiTheme="minorHAnsi" w:cstheme="minorHAnsi"/>
          <w:sz w:val="24"/>
          <w:szCs w:val="24"/>
        </w:rPr>
        <w:t>programme's</w:t>
      </w:r>
      <w:proofErr w:type="spellEnd"/>
      <w:r w:rsidRPr="00913076">
        <w:rPr>
          <w:rStyle w:val="Bodytext1"/>
          <w:rFonts w:asciiTheme="minorHAnsi" w:hAnsiTheme="minorHAnsi" w:cstheme="minorHAnsi"/>
          <w:sz w:val="24"/>
          <w:szCs w:val="24"/>
        </w:rPr>
        <w:t xml:space="preserve"> impact, safety, drug resistance and assessment of effectiveness. In order to measure the quality of SMC coverage, three key indicators will be assessed as part of this </w:t>
      </w:r>
      <w:r w:rsidR="000F607C" w:rsidRPr="00913076">
        <w:rPr>
          <w:rStyle w:val="Bodytext1"/>
          <w:rFonts w:asciiTheme="minorHAnsi" w:hAnsiTheme="minorHAnsi" w:cstheme="minorHAnsi"/>
          <w:sz w:val="24"/>
          <w:szCs w:val="24"/>
        </w:rPr>
        <w:t>the</w:t>
      </w:r>
      <w:r w:rsidRPr="00913076">
        <w:rPr>
          <w:rStyle w:val="Bodytext1"/>
          <w:rFonts w:asciiTheme="minorHAnsi" w:hAnsiTheme="minorHAnsi" w:cstheme="minorHAnsi"/>
          <w:sz w:val="24"/>
          <w:szCs w:val="24"/>
        </w:rPr>
        <w:t xml:space="preserve"> End-of-</w:t>
      </w:r>
      <w:proofErr w:type="gramStart"/>
      <w:r w:rsidRPr="00913076">
        <w:rPr>
          <w:rStyle w:val="Bodytext1"/>
          <w:rFonts w:asciiTheme="minorHAnsi" w:hAnsiTheme="minorHAnsi" w:cstheme="minorHAnsi"/>
          <w:sz w:val="24"/>
          <w:szCs w:val="24"/>
        </w:rPr>
        <w:t>Round</w:t>
      </w:r>
      <w:proofErr w:type="gramEnd"/>
      <w:r w:rsidRPr="00913076">
        <w:rPr>
          <w:rStyle w:val="Bodytext1"/>
          <w:rFonts w:asciiTheme="minorHAnsi" w:hAnsiTheme="minorHAnsi" w:cstheme="minorHAnsi"/>
          <w:sz w:val="24"/>
          <w:szCs w:val="24"/>
        </w:rPr>
        <w:t xml:space="preserve"> survey:</w:t>
      </w:r>
    </w:p>
    <w:p w14:paraId="5EFBE58C" w14:textId="77777777" w:rsidR="00312368" w:rsidRPr="00913076" w:rsidRDefault="005243FD" w:rsidP="00330C7E">
      <w:pPr>
        <w:pStyle w:val="Bodytext10"/>
        <w:numPr>
          <w:ilvl w:val="0"/>
          <w:numId w:val="20"/>
        </w:numPr>
        <w:tabs>
          <w:tab w:val="left" w:pos="674"/>
        </w:tabs>
        <w:spacing w:after="0" w:line="295" w:lineRule="auto"/>
        <w:ind w:left="660" w:hanging="320"/>
        <w:jc w:val="both"/>
        <w:rPr>
          <w:rFonts w:asciiTheme="minorHAnsi" w:hAnsiTheme="minorHAnsi" w:cstheme="minorHAnsi"/>
          <w:sz w:val="24"/>
          <w:szCs w:val="24"/>
        </w:rPr>
      </w:pPr>
      <w:r w:rsidRPr="00913076">
        <w:rPr>
          <w:rStyle w:val="Bodytext1"/>
          <w:rFonts w:asciiTheme="minorHAnsi" w:hAnsiTheme="minorHAnsi" w:cstheme="minorHAnsi"/>
          <w:b/>
          <w:bCs/>
          <w:sz w:val="24"/>
          <w:szCs w:val="24"/>
        </w:rPr>
        <w:t xml:space="preserve">Age eligibility: </w:t>
      </w:r>
      <w:r w:rsidRPr="00913076">
        <w:rPr>
          <w:rStyle w:val="Bodytext1"/>
          <w:rFonts w:asciiTheme="minorHAnsi" w:hAnsiTheme="minorHAnsi" w:cstheme="minorHAnsi"/>
          <w:sz w:val="24"/>
          <w:szCs w:val="24"/>
        </w:rPr>
        <w:t>only afebrile children aged 3-59 months receive SPAQ. Infants who are under 3 months on Cycle 1 may receive SPAQ once they are 3 months old. Children who are 59 months on Cycle 1 may receive SPAQ for all 4 cycles. However, children who are 60 months or older at Cycle 1 are not eligible for SMC. Community Distributors will be trained to determine a child's age using the following criteria if a birth certificate or vaccine card with the child's date of birth is unavailable:</w:t>
      </w:r>
    </w:p>
    <w:p w14:paraId="00A2057A" w14:textId="77777777" w:rsidR="00312368" w:rsidRPr="00913076" w:rsidRDefault="005243FD" w:rsidP="00330C7E">
      <w:pPr>
        <w:pStyle w:val="Bodytext10"/>
        <w:numPr>
          <w:ilvl w:val="0"/>
          <w:numId w:val="21"/>
        </w:numPr>
        <w:tabs>
          <w:tab w:val="left" w:pos="674"/>
        </w:tabs>
        <w:spacing w:after="0" w:line="293" w:lineRule="auto"/>
        <w:ind w:left="660" w:hanging="320"/>
        <w:jc w:val="both"/>
        <w:rPr>
          <w:rFonts w:asciiTheme="minorHAnsi" w:hAnsiTheme="minorHAnsi" w:cstheme="minorHAnsi"/>
          <w:sz w:val="24"/>
          <w:szCs w:val="24"/>
        </w:rPr>
      </w:pPr>
      <w:r w:rsidRPr="00913076">
        <w:rPr>
          <w:rStyle w:val="Bodytext1"/>
          <w:rFonts w:asciiTheme="minorHAnsi" w:hAnsiTheme="minorHAnsi" w:cstheme="minorHAnsi"/>
          <w:sz w:val="24"/>
          <w:szCs w:val="24"/>
        </w:rPr>
        <w:t xml:space="preserve">Infant between 3 to &lt;12 months: can hold head and neck steady when held upright, can crawl, can sit without </w:t>
      </w:r>
      <w:proofErr w:type="gramStart"/>
      <w:r w:rsidRPr="00913076">
        <w:rPr>
          <w:rStyle w:val="Bodytext1"/>
          <w:rFonts w:asciiTheme="minorHAnsi" w:hAnsiTheme="minorHAnsi" w:cstheme="minorHAnsi"/>
          <w:sz w:val="24"/>
          <w:szCs w:val="24"/>
        </w:rPr>
        <w:t>help</w:t>
      </w:r>
      <w:proofErr w:type="gramEnd"/>
    </w:p>
    <w:p w14:paraId="62B8D616" w14:textId="4FCE66B3" w:rsidR="00312368" w:rsidRPr="00913076" w:rsidRDefault="005243FD" w:rsidP="00330C7E">
      <w:pPr>
        <w:pStyle w:val="Bodytext10"/>
        <w:numPr>
          <w:ilvl w:val="0"/>
          <w:numId w:val="21"/>
        </w:numPr>
        <w:tabs>
          <w:tab w:val="left" w:pos="674"/>
        </w:tabs>
        <w:spacing w:after="0" w:line="293" w:lineRule="auto"/>
        <w:ind w:left="660" w:hanging="320"/>
        <w:jc w:val="both"/>
        <w:rPr>
          <w:rStyle w:val="Bodytext1"/>
          <w:rFonts w:asciiTheme="minorHAnsi" w:hAnsiTheme="minorHAnsi" w:cstheme="minorHAnsi"/>
          <w:sz w:val="24"/>
          <w:szCs w:val="24"/>
        </w:rPr>
      </w:pPr>
      <w:r w:rsidRPr="00913076">
        <w:rPr>
          <w:rStyle w:val="Bodytext1"/>
          <w:rFonts w:asciiTheme="minorHAnsi" w:hAnsiTheme="minorHAnsi" w:cstheme="minorHAnsi"/>
          <w:sz w:val="24"/>
          <w:szCs w:val="24"/>
        </w:rPr>
        <w:t xml:space="preserve">Child between 12-59 months: can stand or walk, not able to raise their arm and touch their opposite ear, not able to stand or jump on one </w:t>
      </w:r>
      <w:proofErr w:type="gramStart"/>
      <w:r w:rsidRPr="00913076">
        <w:rPr>
          <w:rStyle w:val="Bodytext1"/>
          <w:rFonts w:asciiTheme="minorHAnsi" w:hAnsiTheme="minorHAnsi" w:cstheme="minorHAnsi"/>
          <w:sz w:val="24"/>
          <w:szCs w:val="24"/>
        </w:rPr>
        <w:t>foot</w:t>
      </w:r>
      <w:proofErr w:type="gramEnd"/>
    </w:p>
    <w:p w14:paraId="3C46C73B" w14:textId="77777777" w:rsidR="0008469A" w:rsidRPr="00913076" w:rsidRDefault="0008469A" w:rsidP="00330C7E">
      <w:pPr>
        <w:pStyle w:val="Bodytext10"/>
        <w:tabs>
          <w:tab w:val="left" w:pos="674"/>
        </w:tabs>
        <w:spacing w:after="0" w:line="293" w:lineRule="auto"/>
        <w:ind w:left="660"/>
        <w:jc w:val="both"/>
        <w:rPr>
          <w:rFonts w:asciiTheme="minorHAnsi" w:hAnsiTheme="minorHAnsi" w:cstheme="minorHAnsi"/>
          <w:sz w:val="24"/>
          <w:szCs w:val="24"/>
        </w:rPr>
      </w:pPr>
    </w:p>
    <w:p w14:paraId="67F9EFBE" w14:textId="31105987" w:rsidR="00312368" w:rsidRPr="00913076" w:rsidRDefault="005243FD" w:rsidP="00330C7E">
      <w:pPr>
        <w:pStyle w:val="Bodytext10"/>
        <w:numPr>
          <w:ilvl w:val="0"/>
          <w:numId w:val="20"/>
        </w:numPr>
        <w:tabs>
          <w:tab w:val="left" w:pos="674"/>
        </w:tabs>
        <w:spacing w:after="480" w:line="293" w:lineRule="auto"/>
        <w:ind w:left="660" w:hanging="320"/>
        <w:jc w:val="both"/>
        <w:rPr>
          <w:rFonts w:asciiTheme="minorHAnsi" w:hAnsiTheme="minorHAnsi" w:cstheme="minorHAnsi"/>
          <w:sz w:val="24"/>
          <w:szCs w:val="24"/>
        </w:rPr>
      </w:pPr>
      <w:r w:rsidRPr="00913076">
        <w:rPr>
          <w:rStyle w:val="Bodytext1"/>
          <w:rFonts w:asciiTheme="minorHAnsi" w:hAnsiTheme="minorHAnsi" w:cstheme="minorHAnsi"/>
          <w:b/>
          <w:bCs/>
          <w:sz w:val="24"/>
          <w:szCs w:val="24"/>
        </w:rPr>
        <w:t xml:space="preserve">Directly observed therapy (DOT): </w:t>
      </w:r>
      <w:r w:rsidRPr="00913076">
        <w:rPr>
          <w:rStyle w:val="Bodytext1"/>
          <w:rFonts w:asciiTheme="minorHAnsi" w:hAnsiTheme="minorHAnsi" w:cstheme="minorHAnsi"/>
          <w:sz w:val="24"/>
          <w:szCs w:val="24"/>
        </w:rPr>
        <w:t xml:space="preserve">direct observation by a Community Distributor of the child swallowing </w:t>
      </w:r>
      <w:r w:rsidR="00E17872" w:rsidRPr="00913076">
        <w:rPr>
          <w:rStyle w:val="Bodytext1"/>
          <w:rFonts w:asciiTheme="minorHAnsi" w:hAnsiTheme="minorHAnsi" w:cstheme="minorHAnsi"/>
          <w:sz w:val="24"/>
          <w:szCs w:val="24"/>
        </w:rPr>
        <w:t>all</w:t>
      </w:r>
      <w:r w:rsidRPr="00913076">
        <w:rPr>
          <w:rStyle w:val="Bodytext1"/>
          <w:rFonts w:asciiTheme="minorHAnsi" w:hAnsiTheme="minorHAnsi" w:cstheme="minorHAnsi"/>
          <w:sz w:val="24"/>
          <w:szCs w:val="24"/>
        </w:rPr>
        <w:t xml:space="preserve"> the dispersed medicine. Day 1 dose of SP and AQ for each of the four cycles, and/or a re-dose of SP and AQ given on Day 1 if the child vomits the first dose.</w:t>
      </w:r>
    </w:p>
    <w:p w14:paraId="7A6F4AF3" w14:textId="77777777" w:rsidR="00312368" w:rsidRPr="00913076" w:rsidRDefault="005243FD" w:rsidP="00330C7E">
      <w:pPr>
        <w:pStyle w:val="Bodytext10"/>
        <w:numPr>
          <w:ilvl w:val="0"/>
          <w:numId w:val="20"/>
        </w:numPr>
        <w:tabs>
          <w:tab w:val="left" w:pos="674"/>
        </w:tabs>
        <w:spacing w:after="420" w:line="295" w:lineRule="auto"/>
        <w:ind w:left="660" w:hanging="320"/>
        <w:jc w:val="both"/>
        <w:rPr>
          <w:rFonts w:asciiTheme="minorHAnsi" w:hAnsiTheme="minorHAnsi" w:cstheme="minorHAnsi"/>
          <w:sz w:val="24"/>
          <w:szCs w:val="24"/>
        </w:rPr>
      </w:pPr>
      <w:r w:rsidRPr="00913076">
        <w:rPr>
          <w:rStyle w:val="Bodytext1"/>
          <w:rFonts w:asciiTheme="minorHAnsi" w:hAnsiTheme="minorHAnsi" w:cstheme="minorHAnsi"/>
          <w:b/>
          <w:bCs/>
          <w:sz w:val="24"/>
          <w:szCs w:val="24"/>
        </w:rPr>
        <w:t xml:space="preserve">Adherence: </w:t>
      </w:r>
      <w:r w:rsidRPr="00913076">
        <w:rPr>
          <w:rStyle w:val="Bodytext1"/>
          <w:rFonts w:asciiTheme="minorHAnsi" w:hAnsiTheme="minorHAnsi" w:cstheme="minorHAnsi"/>
          <w:sz w:val="24"/>
          <w:szCs w:val="24"/>
        </w:rPr>
        <w:t>eligible children are administered one dispersed tablet of AQ on Days 2 and 3 of each SMC cycle for all 4 cycles and re-dosed with AQ if they vomit.</w:t>
      </w:r>
    </w:p>
    <w:p w14:paraId="1A9B40F1" w14:textId="010830D6" w:rsidR="00312368" w:rsidRPr="00913076" w:rsidRDefault="005243FD" w:rsidP="00330C7E">
      <w:pPr>
        <w:pStyle w:val="Bodytext30"/>
        <w:numPr>
          <w:ilvl w:val="0"/>
          <w:numId w:val="20"/>
        </w:numPr>
        <w:tabs>
          <w:tab w:val="left" w:pos="326"/>
        </w:tabs>
        <w:spacing w:line="257" w:lineRule="auto"/>
        <w:jc w:val="both"/>
        <w:rPr>
          <w:rFonts w:asciiTheme="minorHAnsi" w:hAnsiTheme="minorHAnsi" w:cstheme="minorHAnsi"/>
          <w:sz w:val="24"/>
          <w:szCs w:val="24"/>
        </w:rPr>
      </w:pPr>
      <w:r w:rsidRPr="00913076">
        <w:rPr>
          <w:rStyle w:val="Bodytext3"/>
          <w:rFonts w:asciiTheme="minorHAnsi" w:hAnsiTheme="minorHAnsi" w:cstheme="minorHAnsi"/>
          <w:sz w:val="24"/>
          <w:szCs w:val="24"/>
        </w:rPr>
        <w:t xml:space="preserve">Due to logistical constraints, it will not be possible to translate the packaging into Portuguese for this </w:t>
      </w:r>
      <w:r w:rsidR="0008469A" w:rsidRPr="00913076">
        <w:rPr>
          <w:rStyle w:val="Bodytext3"/>
          <w:rFonts w:asciiTheme="minorHAnsi" w:hAnsiTheme="minorHAnsi" w:cstheme="minorHAnsi"/>
          <w:sz w:val="24"/>
          <w:szCs w:val="24"/>
        </w:rPr>
        <w:t>round I of implementation at scale</w:t>
      </w:r>
      <w:r w:rsidRPr="00913076">
        <w:rPr>
          <w:rStyle w:val="Bodytext3"/>
          <w:rFonts w:asciiTheme="minorHAnsi" w:hAnsiTheme="minorHAnsi" w:cstheme="minorHAnsi"/>
          <w:sz w:val="24"/>
          <w:szCs w:val="24"/>
        </w:rPr>
        <w:t xml:space="preserve">. They are </w:t>
      </w:r>
      <w:r w:rsidR="00330C7E" w:rsidRPr="00913076">
        <w:rPr>
          <w:rStyle w:val="Bodytext3"/>
          <w:rFonts w:asciiTheme="minorHAnsi" w:hAnsiTheme="minorHAnsi" w:cstheme="minorHAnsi"/>
          <w:sz w:val="24"/>
          <w:szCs w:val="24"/>
        </w:rPr>
        <w:t>color</w:t>
      </w:r>
      <w:r w:rsidRPr="00913076">
        <w:rPr>
          <w:rStyle w:val="Bodytext3"/>
          <w:rFonts w:asciiTheme="minorHAnsi" w:hAnsiTheme="minorHAnsi" w:cstheme="minorHAnsi"/>
          <w:sz w:val="24"/>
          <w:szCs w:val="24"/>
        </w:rPr>
        <w:t xml:space="preserve"> coded and the tablets differ in size for each dose.</w:t>
      </w:r>
    </w:p>
    <w:p w14:paraId="51173059" w14:textId="77777777" w:rsidR="00312368" w:rsidRPr="00913076" w:rsidRDefault="005243FD" w:rsidP="00330C7E">
      <w:pPr>
        <w:pStyle w:val="Bodytext10"/>
        <w:spacing w:after="640" w:line="341" w:lineRule="auto"/>
        <w:jc w:val="both"/>
        <w:rPr>
          <w:rFonts w:asciiTheme="minorHAnsi" w:hAnsiTheme="minorHAnsi" w:cstheme="minorHAnsi"/>
          <w:sz w:val="24"/>
          <w:szCs w:val="24"/>
        </w:rPr>
      </w:pPr>
      <w:r w:rsidRPr="00913076">
        <w:rPr>
          <w:rStyle w:val="Bodytext1"/>
          <w:rFonts w:asciiTheme="minorHAnsi" w:hAnsiTheme="minorHAnsi" w:cstheme="minorHAnsi"/>
          <w:sz w:val="24"/>
          <w:szCs w:val="24"/>
        </w:rPr>
        <w:t>These quality indicators are included along with the coverage indicators in the End-of-</w:t>
      </w:r>
      <w:proofErr w:type="gramStart"/>
      <w:r w:rsidRPr="00913076">
        <w:rPr>
          <w:rStyle w:val="Bodytext1"/>
          <w:rFonts w:asciiTheme="minorHAnsi" w:hAnsiTheme="minorHAnsi" w:cstheme="minorHAnsi"/>
          <w:sz w:val="24"/>
          <w:szCs w:val="24"/>
        </w:rPr>
        <w:t>Round</w:t>
      </w:r>
      <w:proofErr w:type="gramEnd"/>
      <w:r w:rsidRPr="00913076">
        <w:rPr>
          <w:rStyle w:val="Bodytext1"/>
          <w:rFonts w:asciiTheme="minorHAnsi" w:hAnsiTheme="minorHAnsi" w:cstheme="minorHAnsi"/>
          <w:sz w:val="24"/>
          <w:szCs w:val="24"/>
        </w:rPr>
        <w:t xml:space="preserve"> survey tool (see </w:t>
      </w:r>
      <w:r w:rsidRPr="00913076">
        <w:rPr>
          <w:rStyle w:val="Bodytext1"/>
          <w:rFonts w:asciiTheme="minorHAnsi" w:hAnsiTheme="minorHAnsi" w:cstheme="minorHAnsi"/>
          <w:b/>
          <w:bCs/>
          <w:sz w:val="24"/>
          <w:szCs w:val="24"/>
        </w:rPr>
        <w:t>Appendix 4).</w:t>
      </w:r>
    </w:p>
    <w:p w14:paraId="01A69529" w14:textId="77777777" w:rsidR="00312368" w:rsidRPr="00913076" w:rsidRDefault="005243FD" w:rsidP="00330C7E">
      <w:pPr>
        <w:pStyle w:val="Bodytext10"/>
        <w:spacing w:line="329" w:lineRule="auto"/>
        <w:jc w:val="both"/>
        <w:rPr>
          <w:rFonts w:asciiTheme="minorHAnsi" w:hAnsiTheme="minorHAnsi" w:cstheme="minorHAnsi"/>
          <w:color w:val="00B050"/>
          <w:sz w:val="24"/>
          <w:szCs w:val="24"/>
        </w:rPr>
      </w:pPr>
      <w:r w:rsidRPr="00913076">
        <w:rPr>
          <w:rStyle w:val="Bodytext1"/>
          <w:rFonts w:asciiTheme="minorHAnsi" w:hAnsiTheme="minorHAnsi" w:cstheme="minorHAnsi"/>
          <w:b/>
          <w:bCs/>
          <w:color w:val="00B050"/>
          <w:sz w:val="24"/>
          <w:szCs w:val="24"/>
        </w:rPr>
        <w:t>End-of-</w:t>
      </w:r>
      <w:proofErr w:type="gramStart"/>
      <w:r w:rsidRPr="00913076">
        <w:rPr>
          <w:rStyle w:val="Bodytext1"/>
          <w:rFonts w:asciiTheme="minorHAnsi" w:hAnsiTheme="minorHAnsi" w:cstheme="minorHAnsi"/>
          <w:b/>
          <w:bCs/>
          <w:color w:val="00B050"/>
          <w:sz w:val="24"/>
          <w:szCs w:val="24"/>
        </w:rPr>
        <w:t>Round</w:t>
      </w:r>
      <w:proofErr w:type="gramEnd"/>
      <w:r w:rsidRPr="00913076">
        <w:rPr>
          <w:rStyle w:val="Bodytext1"/>
          <w:rFonts w:asciiTheme="minorHAnsi" w:hAnsiTheme="minorHAnsi" w:cstheme="minorHAnsi"/>
          <w:b/>
          <w:bCs/>
          <w:color w:val="00B050"/>
          <w:sz w:val="24"/>
          <w:szCs w:val="24"/>
        </w:rPr>
        <w:t xml:space="preserve"> survey study area</w:t>
      </w:r>
    </w:p>
    <w:p w14:paraId="6EB4FCAA" w14:textId="561AEB9F" w:rsidR="00312368" w:rsidRPr="00913076" w:rsidRDefault="005243FD" w:rsidP="00330C7E">
      <w:pPr>
        <w:pStyle w:val="Bodytext10"/>
        <w:spacing w:after="580"/>
        <w:jc w:val="both"/>
        <w:rPr>
          <w:rFonts w:asciiTheme="minorHAnsi" w:hAnsiTheme="minorHAnsi" w:cstheme="minorHAnsi"/>
          <w:sz w:val="24"/>
          <w:szCs w:val="24"/>
        </w:rPr>
      </w:pPr>
      <w:r w:rsidRPr="00913076">
        <w:rPr>
          <w:rStyle w:val="Bodytext1"/>
          <w:rFonts w:asciiTheme="minorHAnsi" w:hAnsiTheme="minorHAnsi" w:cstheme="minorHAnsi"/>
          <w:sz w:val="24"/>
          <w:szCs w:val="24"/>
        </w:rPr>
        <w:t xml:space="preserve">The study will aim to achieve representative sample of children aged 3-119 months in households grouped within clusters identified from health facility catchment areas across the </w:t>
      </w:r>
      <w:proofErr w:type="gramStart"/>
      <w:r w:rsidR="0008469A" w:rsidRPr="00913076">
        <w:rPr>
          <w:rStyle w:val="Bodytext1"/>
          <w:rFonts w:asciiTheme="minorHAnsi" w:hAnsiTheme="minorHAnsi" w:cstheme="minorHAnsi"/>
          <w:sz w:val="24"/>
          <w:szCs w:val="24"/>
        </w:rPr>
        <w:t xml:space="preserve">23 </w:t>
      </w:r>
      <w:r w:rsidRPr="00913076">
        <w:rPr>
          <w:rStyle w:val="Bodytext1"/>
          <w:rFonts w:asciiTheme="minorHAnsi" w:hAnsiTheme="minorHAnsi" w:cstheme="minorHAnsi"/>
          <w:sz w:val="24"/>
          <w:szCs w:val="24"/>
        </w:rPr>
        <w:t xml:space="preserve"> intervention</w:t>
      </w:r>
      <w:proofErr w:type="gramEnd"/>
      <w:r w:rsidRPr="00913076">
        <w:rPr>
          <w:rStyle w:val="Bodytext1"/>
          <w:rFonts w:asciiTheme="minorHAnsi" w:hAnsiTheme="minorHAnsi" w:cstheme="minorHAnsi"/>
          <w:sz w:val="24"/>
          <w:szCs w:val="24"/>
        </w:rPr>
        <w:t xml:space="preserve"> districts of the SMC </w:t>
      </w:r>
      <w:r w:rsidR="0008469A" w:rsidRPr="00913076">
        <w:rPr>
          <w:rStyle w:val="Bodytext1"/>
          <w:rFonts w:asciiTheme="minorHAnsi" w:hAnsiTheme="minorHAnsi" w:cstheme="minorHAnsi"/>
          <w:sz w:val="24"/>
          <w:szCs w:val="24"/>
        </w:rPr>
        <w:t xml:space="preserve"> in Nampula Province</w:t>
      </w:r>
      <w:r w:rsidRPr="00913076">
        <w:rPr>
          <w:rStyle w:val="Bodytext1"/>
          <w:rFonts w:asciiTheme="minorHAnsi" w:hAnsiTheme="minorHAnsi" w:cstheme="minorHAnsi"/>
          <w:sz w:val="24"/>
          <w:szCs w:val="24"/>
        </w:rPr>
        <w:t>.</w:t>
      </w:r>
    </w:p>
    <w:p w14:paraId="304DFD7F" w14:textId="77777777" w:rsidR="00312368" w:rsidRPr="00913076" w:rsidRDefault="005243FD" w:rsidP="00330C7E">
      <w:pPr>
        <w:pStyle w:val="Bodytext10"/>
        <w:spacing w:after="120" w:line="329" w:lineRule="auto"/>
        <w:jc w:val="both"/>
        <w:rPr>
          <w:rFonts w:asciiTheme="minorHAnsi" w:hAnsiTheme="minorHAnsi" w:cstheme="minorHAnsi"/>
          <w:color w:val="00B050"/>
          <w:sz w:val="24"/>
          <w:szCs w:val="24"/>
        </w:rPr>
      </w:pPr>
      <w:r w:rsidRPr="00913076">
        <w:rPr>
          <w:rStyle w:val="Bodytext1"/>
          <w:rFonts w:asciiTheme="minorHAnsi" w:hAnsiTheme="minorHAnsi" w:cstheme="minorHAnsi"/>
          <w:b/>
          <w:bCs/>
          <w:color w:val="00B050"/>
          <w:sz w:val="24"/>
          <w:szCs w:val="24"/>
        </w:rPr>
        <w:t>Study Design</w:t>
      </w:r>
    </w:p>
    <w:p w14:paraId="3B02BA31" w14:textId="72576085" w:rsidR="00312368" w:rsidRPr="00913076" w:rsidRDefault="005243FD" w:rsidP="00330C7E">
      <w:pPr>
        <w:pStyle w:val="Bodytext10"/>
        <w:spacing w:after="520" w:line="329" w:lineRule="auto"/>
        <w:jc w:val="both"/>
        <w:rPr>
          <w:rFonts w:asciiTheme="minorHAnsi" w:hAnsiTheme="minorHAnsi" w:cstheme="minorHAnsi"/>
          <w:sz w:val="24"/>
          <w:szCs w:val="24"/>
        </w:rPr>
      </w:pPr>
      <w:r w:rsidRPr="00913076">
        <w:rPr>
          <w:rStyle w:val="Bodytext1"/>
          <w:rFonts w:asciiTheme="minorHAnsi" w:hAnsiTheme="minorHAnsi" w:cstheme="minorHAnsi"/>
          <w:sz w:val="24"/>
          <w:szCs w:val="24"/>
        </w:rPr>
        <w:t xml:space="preserve">For this objective, the design will be a cross-sectional cluster </w:t>
      </w:r>
      <w:r w:rsidR="00E17872" w:rsidRPr="00913076">
        <w:rPr>
          <w:rStyle w:val="Bodytext1"/>
          <w:rFonts w:asciiTheme="minorHAnsi" w:hAnsiTheme="minorHAnsi" w:cstheme="minorHAnsi"/>
          <w:sz w:val="24"/>
          <w:szCs w:val="24"/>
        </w:rPr>
        <w:t>randomized</w:t>
      </w:r>
      <w:r w:rsidRPr="00913076">
        <w:rPr>
          <w:rStyle w:val="Bodytext1"/>
          <w:rFonts w:asciiTheme="minorHAnsi" w:hAnsiTheme="minorHAnsi" w:cstheme="minorHAnsi"/>
          <w:sz w:val="24"/>
          <w:szCs w:val="24"/>
        </w:rPr>
        <w:t xml:space="preserve"> survey to evaluate the coverage level and quality of the SMC treatment </w:t>
      </w:r>
      <w:r w:rsidR="0008469A" w:rsidRPr="00913076">
        <w:rPr>
          <w:rStyle w:val="Bodytext1"/>
          <w:rFonts w:asciiTheme="minorHAnsi" w:hAnsiTheme="minorHAnsi" w:cstheme="minorHAnsi"/>
          <w:sz w:val="24"/>
          <w:szCs w:val="24"/>
        </w:rPr>
        <w:t>implemented across Nampula Province</w:t>
      </w:r>
      <w:r w:rsidRPr="00913076">
        <w:rPr>
          <w:rStyle w:val="Bodytext1"/>
          <w:rFonts w:asciiTheme="minorHAnsi" w:hAnsiTheme="minorHAnsi" w:cstheme="minorHAnsi"/>
          <w:sz w:val="24"/>
          <w:szCs w:val="24"/>
        </w:rPr>
        <w:t>.</w:t>
      </w:r>
    </w:p>
    <w:p w14:paraId="72ADC775" w14:textId="77777777" w:rsidR="00312368" w:rsidRPr="00913076" w:rsidRDefault="005243FD" w:rsidP="00330C7E">
      <w:pPr>
        <w:pStyle w:val="Bodytext10"/>
        <w:spacing w:after="120" w:line="329" w:lineRule="auto"/>
        <w:jc w:val="both"/>
        <w:rPr>
          <w:rFonts w:asciiTheme="minorHAnsi" w:hAnsiTheme="minorHAnsi" w:cstheme="minorHAnsi"/>
          <w:color w:val="00B050"/>
          <w:sz w:val="24"/>
          <w:szCs w:val="24"/>
        </w:rPr>
      </w:pPr>
      <w:r w:rsidRPr="00913076">
        <w:rPr>
          <w:rStyle w:val="Bodytext1"/>
          <w:rFonts w:asciiTheme="minorHAnsi" w:hAnsiTheme="minorHAnsi" w:cstheme="minorHAnsi"/>
          <w:b/>
          <w:bCs/>
          <w:color w:val="00B050"/>
          <w:sz w:val="24"/>
          <w:szCs w:val="24"/>
        </w:rPr>
        <w:t>Study population</w:t>
      </w:r>
    </w:p>
    <w:p w14:paraId="0FC9D5A8" w14:textId="08F25DD4" w:rsidR="00312368" w:rsidRPr="00913076" w:rsidRDefault="005243FD" w:rsidP="00330C7E">
      <w:pPr>
        <w:pStyle w:val="Bodytext10"/>
        <w:spacing w:after="580" w:line="341" w:lineRule="auto"/>
        <w:jc w:val="both"/>
        <w:rPr>
          <w:rFonts w:asciiTheme="minorHAnsi" w:hAnsiTheme="minorHAnsi" w:cstheme="minorHAnsi"/>
          <w:sz w:val="24"/>
          <w:szCs w:val="24"/>
        </w:rPr>
      </w:pPr>
      <w:r w:rsidRPr="00913076">
        <w:rPr>
          <w:rStyle w:val="Bodytext1"/>
          <w:rFonts w:asciiTheme="minorHAnsi" w:hAnsiTheme="minorHAnsi" w:cstheme="minorHAnsi"/>
          <w:sz w:val="24"/>
          <w:szCs w:val="24"/>
        </w:rPr>
        <w:t xml:space="preserve">The study population will be eligible children aged 3-119 months who are, or have been, resident in the </w:t>
      </w:r>
      <w:r w:rsidR="00820F18" w:rsidRPr="00913076">
        <w:rPr>
          <w:rStyle w:val="Bodytext1"/>
          <w:rFonts w:asciiTheme="minorHAnsi" w:hAnsiTheme="minorHAnsi" w:cstheme="minorHAnsi"/>
          <w:sz w:val="24"/>
          <w:szCs w:val="24"/>
        </w:rPr>
        <w:t>Nampula</w:t>
      </w:r>
      <w:r w:rsidRPr="00913076">
        <w:rPr>
          <w:rStyle w:val="Bodytext1"/>
          <w:rFonts w:asciiTheme="minorHAnsi" w:hAnsiTheme="minorHAnsi" w:cstheme="minorHAnsi"/>
          <w:sz w:val="24"/>
          <w:szCs w:val="24"/>
        </w:rPr>
        <w:t xml:space="preserve"> for a minimum of at least one month, during the SMC implementation period. Survey responses will be provided by caregivers.</w:t>
      </w:r>
    </w:p>
    <w:p w14:paraId="4D165523" w14:textId="77777777" w:rsidR="00312368" w:rsidRPr="00913076" w:rsidRDefault="005243FD" w:rsidP="00330C7E">
      <w:pPr>
        <w:pStyle w:val="Bodytext10"/>
        <w:spacing w:after="120" w:line="329" w:lineRule="auto"/>
        <w:jc w:val="both"/>
        <w:rPr>
          <w:rFonts w:asciiTheme="minorHAnsi" w:hAnsiTheme="minorHAnsi" w:cstheme="minorHAnsi"/>
          <w:sz w:val="24"/>
          <w:szCs w:val="24"/>
        </w:rPr>
      </w:pPr>
      <w:r w:rsidRPr="00913076">
        <w:rPr>
          <w:rStyle w:val="Bodytext1"/>
          <w:rFonts w:asciiTheme="minorHAnsi" w:hAnsiTheme="minorHAnsi" w:cstheme="minorHAnsi"/>
          <w:b/>
          <w:bCs/>
          <w:sz w:val="24"/>
          <w:szCs w:val="24"/>
        </w:rPr>
        <w:t>Inclusion criteria</w:t>
      </w:r>
    </w:p>
    <w:p w14:paraId="6CCD0803" w14:textId="2D29AB41" w:rsidR="00312368" w:rsidRPr="00913076" w:rsidRDefault="005243FD" w:rsidP="00330C7E">
      <w:pPr>
        <w:pStyle w:val="Bodytext10"/>
        <w:numPr>
          <w:ilvl w:val="0"/>
          <w:numId w:val="22"/>
        </w:numPr>
        <w:tabs>
          <w:tab w:val="left" w:pos="686"/>
        </w:tabs>
        <w:spacing w:after="120" w:line="300" w:lineRule="auto"/>
        <w:ind w:left="660" w:hanging="320"/>
        <w:jc w:val="both"/>
        <w:rPr>
          <w:rFonts w:asciiTheme="minorHAnsi" w:hAnsiTheme="minorHAnsi" w:cstheme="minorHAnsi"/>
          <w:sz w:val="24"/>
          <w:szCs w:val="24"/>
        </w:rPr>
      </w:pPr>
      <w:r w:rsidRPr="00913076">
        <w:rPr>
          <w:rStyle w:val="Bodytext1"/>
          <w:rFonts w:asciiTheme="minorHAnsi" w:hAnsiTheme="minorHAnsi" w:cstheme="minorHAnsi"/>
          <w:sz w:val="24"/>
          <w:szCs w:val="24"/>
        </w:rPr>
        <w:t xml:space="preserve">Primarily, the inclusion criteria are households with children aged 3-119 months, resident in </w:t>
      </w:r>
      <w:r w:rsidR="00820F18" w:rsidRPr="00913076">
        <w:rPr>
          <w:rStyle w:val="Bodytext1"/>
          <w:rFonts w:asciiTheme="minorHAnsi" w:hAnsiTheme="minorHAnsi" w:cstheme="minorHAnsi"/>
          <w:sz w:val="24"/>
          <w:szCs w:val="24"/>
        </w:rPr>
        <w:t>Nampula</w:t>
      </w:r>
      <w:r w:rsidRPr="00913076">
        <w:rPr>
          <w:rStyle w:val="Bodytext1"/>
          <w:rFonts w:asciiTheme="minorHAnsi" w:hAnsiTheme="minorHAnsi" w:cstheme="minorHAnsi"/>
          <w:sz w:val="24"/>
          <w:szCs w:val="24"/>
        </w:rPr>
        <w:t xml:space="preserve"> (at least one month) during the period of the </w:t>
      </w:r>
      <w:proofErr w:type="spellStart"/>
      <w:r w:rsidRPr="00913076">
        <w:rPr>
          <w:rStyle w:val="Bodytext1"/>
          <w:rFonts w:asciiTheme="minorHAnsi" w:hAnsiTheme="minorHAnsi" w:cstheme="minorHAnsi"/>
          <w:sz w:val="24"/>
          <w:szCs w:val="24"/>
        </w:rPr>
        <w:t>programme</w:t>
      </w:r>
      <w:proofErr w:type="spellEnd"/>
      <w:r w:rsidRPr="00913076">
        <w:rPr>
          <w:rStyle w:val="Bodytext1"/>
          <w:rFonts w:asciiTheme="minorHAnsi" w:hAnsiTheme="minorHAnsi" w:cstheme="minorHAnsi"/>
          <w:sz w:val="24"/>
          <w:szCs w:val="24"/>
        </w:rPr>
        <w:t xml:space="preserve"> implementation.</w:t>
      </w:r>
    </w:p>
    <w:p w14:paraId="10B9554D" w14:textId="1ED80BD6" w:rsidR="00312368" w:rsidRPr="00913076" w:rsidRDefault="005243FD" w:rsidP="00330C7E">
      <w:pPr>
        <w:pStyle w:val="Bodytext10"/>
        <w:numPr>
          <w:ilvl w:val="0"/>
          <w:numId w:val="22"/>
        </w:numPr>
        <w:tabs>
          <w:tab w:val="left" w:pos="686"/>
        </w:tabs>
        <w:spacing w:after="120" w:line="295" w:lineRule="auto"/>
        <w:ind w:left="660" w:hanging="320"/>
        <w:jc w:val="both"/>
        <w:rPr>
          <w:rFonts w:asciiTheme="minorHAnsi" w:hAnsiTheme="minorHAnsi" w:cstheme="minorHAnsi"/>
          <w:sz w:val="24"/>
          <w:szCs w:val="24"/>
        </w:rPr>
      </w:pPr>
      <w:r w:rsidRPr="00913076">
        <w:rPr>
          <w:rStyle w:val="Bodytext1"/>
          <w:rFonts w:asciiTheme="minorHAnsi" w:hAnsiTheme="minorHAnsi" w:cstheme="minorHAnsi"/>
          <w:sz w:val="24"/>
          <w:szCs w:val="24"/>
        </w:rPr>
        <w:t xml:space="preserve">A person aged 18 years or older with the primary responsibility for feeding and daily care of at least one child aged 3 months to 10 years of age where the person has been resident prior to the start of the SMC </w:t>
      </w:r>
      <w:proofErr w:type="gramStart"/>
      <w:r w:rsidR="00820F18" w:rsidRPr="00913076">
        <w:rPr>
          <w:rStyle w:val="Bodytext1"/>
          <w:rFonts w:asciiTheme="minorHAnsi" w:hAnsiTheme="minorHAnsi" w:cstheme="minorHAnsi"/>
          <w:sz w:val="24"/>
          <w:szCs w:val="24"/>
        </w:rPr>
        <w:t>campaign</w:t>
      </w:r>
      <w:proofErr w:type="gramEnd"/>
      <w:r w:rsidR="00820F18" w:rsidRPr="00913076">
        <w:rPr>
          <w:rStyle w:val="Bodytext1"/>
          <w:rFonts w:asciiTheme="minorHAnsi" w:hAnsiTheme="minorHAnsi" w:cstheme="minorHAnsi"/>
          <w:sz w:val="24"/>
          <w:szCs w:val="24"/>
        </w:rPr>
        <w:t xml:space="preserve"> </w:t>
      </w:r>
    </w:p>
    <w:p w14:paraId="310A2857" w14:textId="77777777" w:rsidR="00312368" w:rsidRPr="00913076" w:rsidRDefault="005243FD" w:rsidP="00330C7E">
      <w:pPr>
        <w:pStyle w:val="Bodytext10"/>
        <w:spacing w:after="120" w:line="329" w:lineRule="auto"/>
        <w:jc w:val="both"/>
        <w:rPr>
          <w:rFonts w:asciiTheme="minorHAnsi" w:hAnsiTheme="minorHAnsi" w:cstheme="minorHAnsi"/>
          <w:sz w:val="24"/>
          <w:szCs w:val="24"/>
        </w:rPr>
      </w:pPr>
      <w:r w:rsidRPr="00913076">
        <w:rPr>
          <w:rStyle w:val="Bodytext1"/>
          <w:rFonts w:asciiTheme="minorHAnsi" w:hAnsiTheme="minorHAnsi" w:cstheme="minorHAnsi"/>
          <w:b/>
          <w:bCs/>
          <w:sz w:val="24"/>
          <w:szCs w:val="24"/>
        </w:rPr>
        <w:t>Household exclusion criteria</w:t>
      </w:r>
    </w:p>
    <w:p w14:paraId="6DBA6260" w14:textId="77777777" w:rsidR="00312368" w:rsidRPr="00913076" w:rsidRDefault="005243FD" w:rsidP="00330C7E">
      <w:pPr>
        <w:pStyle w:val="Bodytext10"/>
        <w:numPr>
          <w:ilvl w:val="0"/>
          <w:numId w:val="22"/>
        </w:numPr>
        <w:tabs>
          <w:tab w:val="left" w:pos="686"/>
        </w:tabs>
        <w:spacing w:after="0" w:line="329" w:lineRule="auto"/>
        <w:ind w:firstLine="340"/>
        <w:jc w:val="both"/>
        <w:rPr>
          <w:rFonts w:asciiTheme="minorHAnsi" w:hAnsiTheme="minorHAnsi" w:cstheme="minorHAnsi"/>
          <w:sz w:val="24"/>
          <w:szCs w:val="24"/>
        </w:rPr>
      </w:pPr>
      <w:r w:rsidRPr="00913076">
        <w:rPr>
          <w:rStyle w:val="Bodytext1"/>
          <w:rFonts w:asciiTheme="minorHAnsi" w:hAnsiTheme="minorHAnsi" w:cstheme="minorHAnsi"/>
          <w:sz w:val="24"/>
          <w:szCs w:val="24"/>
        </w:rPr>
        <w:t xml:space="preserve">Refusal to participate in the </w:t>
      </w:r>
      <w:proofErr w:type="gramStart"/>
      <w:r w:rsidRPr="00913076">
        <w:rPr>
          <w:rStyle w:val="Bodytext1"/>
          <w:rFonts w:asciiTheme="minorHAnsi" w:hAnsiTheme="minorHAnsi" w:cstheme="minorHAnsi"/>
          <w:sz w:val="24"/>
          <w:szCs w:val="24"/>
        </w:rPr>
        <w:t>survey</w:t>
      </w:r>
      <w:proofErr w:type="gramEnd"/>
    </w:p>
    <w:p w14:paraId="225CF5BD" w14:textId="77777777" w:rsidR="00312368" w:rsidRPr="00913076" w:rsidRDefault="005243FD" w:rsidP="00330C7E">
      <w:pPr>
        <w:pStyle w:val="Bodytext10"/>
        <w:numPr>
          <w:ilvl w:val="0"/>
          <w:numId w:val="22"/>
        </w:numPr>
        <w:tabs>
          <w:tab w:val="left" w:pos="686"/>
        </w:tabs>
        <w:spacing w:after="0" w:line="329" w:lineRule="auto"/>
        <w:ind w:firstLine="340"/>
        <w:jc w:val="both"/>
        <w:rPr>
          <w:rFonts w:asciiTheme="minorHAnsi" w:hAnsiTheme="minorHAnsi" w:cstheme="minorHAnsi"/>
          <w:sz w:val="24"/>
          <w:szCs w:val="24"/>
        </w:rPr>
      </w:pPr>
      <w:r w:rsidRPr="00913076">
        <w:rPr>
          <w:rStyle w:val="Bodytext1"/>
          <w:rFonts w:asciiTheme="minorHAnsi" w:hAnsiTheme="minorHAnsi" w:cstheme="minorHAnsi"/>
          <w:sz w:val="24"/>
          <w:szCs w:val="24"/>
        </w:rPr>
        <w:t xml:space="preserve">No one aged 18 years or older available at the time of data </w:t>
      </w:r>
      <w:proofErr w:type="gramStart"/>
      <w:r w:rsidRPr="00913076">
        <w:rPr>
          <w:rStyle w:val="Bodytext1"/>
          <w:rFonts w:asciiTheme="minorHAnsi" w:hAnsiTheme="minorHAnsi" w:cstheme="minorHAnsi"/>
          <w:sz w:val="24"/>
          <w:szCs w:val="24"/>
        </w:rPr>
        <w:t>collection</w:t>
      </w:r>
      <w:proofErr w:type="gramEnd"/>
    </w:p>
    <w:p w14:paraId="634C06AF" w14:textId="77777777" w:rsidR="00312368" w:rsidRPr="00913076" w:rsidRDefault="005243FD" w:rsidP="00330C7E">
      <w:pPr>
        <w:pStyle w:val="Bodytext10"/>
        <w:numPr>
          <w:ilvl w:val="0"/>
          <w:numId w:val="22"/>
        </w:numPr>
        <w:tabs>
          <w:tab w:val="left" w:pos="686"/>
        </w:tabs>
        <w:spacing w:after="360" w:line="329" w:lineRule="auto"/>
        <w:ind w:firstLine="340"/>
        <w:jc w:val="both"/>
        <w:rPr>
          <w:rFonts w:asciiTheme="minorHAnsi" w:hAnsiTheme="minorHAnsi" w:cstheme="minorHAnsi"/>
          <w:sz w:val="24"/>
          <w:szCs w:val="24"/>
        </w:rPr>
      </w:pPr>
      <w:r w:rsidRPr="00913076">
        <w:rPr>
          <w:rStyle w:val="Bodytext1"/>
          <w:rFonts w:asciiTheme="minorHAnsi" w:hAnsiTheme="minorHAnsi" w:cstheme="minorHAnsi"/>
          <w:sz w:val="24"/>
          <w:szCs w:val="24"/>
        </w:rPr>
        <w:t xml:space="preserve">No children aged 3-119 months </w:t>
      </w:r>
      <w:proofErr w:type="gramStart"/>
      <w:r w:rsidRPr="00913076">
        <w:rPr>
          <w:rStyle w:val="Bodytext1"/>
          <w:rFonts w:asciiTheme="minorHAnsi" w:hAnsiTheme="minorHAnsi" w:cstheme="minorHAnsi"/>
          <w:sz w:val="24"/>
          <w:szCs w:val="24"/>
        </w:rPr>
        <w:t>present</w:t>
      </w:r>
      <w:proofErr w:type="gramEnd"/>
    </w:p>
    <w:p w14:paraId="76A95C29" w14:textId="77777777" w:rsidR="00312368" w:rsidRPr="00913076" w:rsidRDefault="005243FD" w:rsidP="00330C7E">
      <w:pPr>
        <w:pStyle w:val="Bodytext10"/>
        <w:spacing w:after="120"/>
        <w:jc w:val="both"/>
        <w:rPr>
          <w:rFonts w:asciiTheme="minorHAnsi" w:hAnsiTheme="minorHAnsi" w:cstheme="minorHAnsi"/>
          <w:sz w:val="24"/>
          <w:szCs w:val="24"/>
        </w:rPr>
      </w:pPr>
      <w:r w:rsidRPr="00913076">
        <w:rPr>
          <w:rStyle w:val="Bodytext1"/>
          <w:rFonts w:asciiTheme="minorHAnsi" w:hAnsiTheme="minorHAnsi" w:cstheme="minorHAnsi"/>
          <w:sz w:val="24"/>
          <w:szCs w:val="24"/>
        </w:rPr>
        <w:t>Households refusing to participate in the study will be replaced with the next eligible household until the estimated sample size is attained.</w:t>
      </w:r>
    </w:p>
    <w:p w14:paraId="5A418302" w14:textId="77777777" w:rsidR="00312368" w:rsidRPr="00913076" w:rsidRDefault="005243FD" w:rsidP="00330C7E">
      <w:pPr>
        <w:pStyle w:val="Bodytext10"/>
        <w:spacing w:after="120" w:line="329" w:lineRule="auto"/>
        <w:jc w:val="both"/>
        <w:rPr>
          <w:rFonts w:asciiTheme="minorHAnsi" w:hAnsiTheme="minorHAnsi" w:cstheme="minorHAnsi"/>
          <w:sz w:val="24"/>
          <w:szCs w:val="24"/>
        </w:rPr>
      </w:pPr>
      <w:r w:rsidRPr="00913076">
        <w:rPr>
          <w:rStyle w:val="Bodytext1"/>
          <w:rFonts w:asciiTheme="minorHAnsi" w:hAnsiTheme="minorHAnsi" w:cstheme="minorHAnsi"/>
          <w:b/>
          <w:bCs/>
          <w:sz w:val="24"/>
          <w:szCs w:val="24"/>
        </w:rPr>
        <w:t>Sample Size and technique</w:t>
      </w:r>
    </w:p>
    <w:p w14:paraId="1E4BD625" w14:textId="1156FEAA" w:rsidR="00312368" w:rsidRPr="00913076" w:rsidRDefault="005243FD" w:rsidP="00330C7E">
      <w:pPr>
        <w:pStyle w:val="Bodytext10"/>
        <w:spacing w:after="220" w:line="319" w:lineRule="auto"/>
        <w:jc w:val="both"/>
        <w:rPr>
          <w:rFonts w:asciiTheme="minorHAnsi" w:hAnsiTheme="minorHAnsi" w:cstheme="minorHAnsi"/>
          <w:sz w:val="24"/>
          <w:szCs w:val="24"/>
        </w:rPr>
      </w:pPr>
      <w:r w:rsidRPr="00913076">
        <w:rPr>
          <w:rStyle w:val="Bodytext1"/>
          <w:rFonts w:asciiTheme="minorHAnsi" w:hAnsiTheme="minorHAnsi" w:cstheme="minorHAnsi"/>
          <w:sz w:val="24"/>
          <w:szCs w:val="24"/>
        </w:rPr>
        <w:t xml:space="preserve">The End-of-Round (EoR) survey will employ multi-stage random samples of households in areas covered by Malaria Consortium's SMC </w:t>
      </w:r>
      <w:r w:rsidR="00E17872" w:rsidRPr="00913076">
        <w:rPr>
          <w:rStyle w:val="Bodytext1"/>
          <w:rFonts w:asciiTheme="minorHAnsi" w:hAnsiTheme="minorHAnsi" w:cstheme="minorHAnsi"/>
          <w:sz w:val="24"/>
          <w:szCs w:val="24"/>
        </w:rPr>
        <w:t>campaign and</w:t>
      </w:r>
      <w:r w:rsidRPr="00913076">
        <w:rPr>
          <w:rStyle w:val="Bodytext1"/>
          <w:rFonts w:asciiTheme="minorHAnsi" w:hAnsiTheme="minorHAnsi" w:cstheme="minorHAnsi"/>
          <w:sz w:val="24"/>
          <w:szCs w:val="24"/>
        </w:rPr>
        <w:t xml:space="preserve"> will intend to achieve a representative sample of the target population at the district level to estimate coverage of SMC at the level of individual eligible children. The sampling protocol aims to achieve a self-weighted sample with sampling units selected with probability proportional to size (PPS). Only at the last stage of sampling (i.e. at the household level) will a constant number of eligible children (one child per household) be selected.</w:t>
      </w:r>
    </w:p>
    <w:p w14:paraId="5E630AED" w14:textId="77777777" w:rsidR="00312368" w:rsidRPr="00913076" w:rsidRDefault="005243FD" w:rsidP="00330C7E">
      <w:pPr>
        <w:pStyle w:val="Bodytext10"/>
        <w:spacing w:after="220"/>
        <w:jc w:val="both"/>
        <w:rPr>
          <w:rFonts w:asciiTheme="minorHAnsi" w:hAnsiTheme="minorHAnsi" w:cstheme="minorHAnsi"/>
          <w:sz w:val="24"/>
          <w:szCs w:val="24"/>
        </w:rPr>
      </w:pPr>
      <w:r w:rsidRPr="00913076">
        <w:rPr>
          <w:rStyle w:val="Bodytext1"/>
          <w:rFonts w:asciiTheme="minorHAnsi" w:hAnsiTheme="minorHAnsi" w:cstheme="minorHAnsi"/>
          <w:sz w:val="24"/>
          <w:szCs w:val="24"/>
        </w:rPr>
        <w:t>The survey will be powered to give an estimate of SMC coverage for children aged 3-59 months with a margin of error of 5%, while also providing a representative sample of children aged 60-119 months.</w:t>
      </w:r>
    </w:p>
    <w:p w14:paraId="18A71CDD" w14:textId="40556EFE" w:rsidR="00312368" w:rsidRPr="00913076" w:rsidRDefault="005243FD" w:rsidP="00330C7E">
      <w:pPr>
        <w:pStyle w:val="Bodytext10"/>
        <w:spacing w:after="220"/>
        <w:jc w:val="both"/>
        <w:rPr>
          <w:rFonts w:asciiTheme="minorHAnsi" w:hAnsiTheme="minorHAnsi" w:cstheme="minorHAnsi"/>
          <w:sz w:val="24"/>
          <w:szCs w:val="24"/>
        </w:rPr>
      </w:pPr>
      <w:r w:rsidRPr="00913076">
        <w:rPr>
          <w:rStyle w:val="Bodytext1"/>
          <w:rFonts w:asciiTheme="minorHAnsi" w:hAnsiTheme="minorHAnsi" w:cstheme="minorHAnsi"/>
          <w:sz w:val="24"/>
          <w:szCs w:val="24"/>
        </w:rPr>
        <w:t>The main sampling frame for the selection process will be a list of villages</w:t>
      </w:r>
      <w:r w:rsidR="00820F18" w:rsidRPr="00913076">
        <w:rPr>
          <w:rStyle w:val="Bodytext1"/>
          <w:rFonts w:asciiTheme="minorHAnsi" w:hAnsiTheme="minorHAnsi" w:cstheme="minorHAnsi"/>
          <w:sz w:val="24"/>
          <w:szCs w:val="24"/>
        </w:rPr>
        <w:t xml:space="preserve"> (</w:t>
      </w:r>
      <w:proofErr w:type="spellStart"/>
      <w:r w:rsidR="00820F18" w:rsidRPr="00913076">
        <w:rPr>
          <w:rStyle w:val="Bodytext1"/>
          <w:rFonts w:asciiTheme="minorHAnsi" w:hAnsiTheme="minorHAnsi" w:cstheme="minorHAnsi"/>
          <w:i/>
          <w:iCs/>
          <w:sz w:val="24"/>
          <w:szCs w:val="24"/>
        </w:rPr>
        <w:t>Comunidades</w:t>
      </w:r>
      <w:proofErr w:type="spellEnd"/>
      <w:r w:rsidR="00820F18" w:rsidRPr="00913076">
        <w:rPr>
          <w:rStyle w:val="Bodytext1"/>
          <w:rFonts w:asciiTheme="minorHAnsi" w:hAnsiTheme="minorHAnsi" w:cstheme="minorHAnsi"/>
          <w:i/>
          <w:iCs/>
          <w:sz w:val="24"/>
          <w:szCs w:val="24"/>
        </w:rPr>
        <w:t>)</w:t>
      </w:r>
      <w:r w:rsidRPr="00913076">
        <w:rPr>
          <w:rStyle w:val="Bodytext1"/>
          <w:rFonts w:asciiTheme="minorHAnsi" w:hAnsiTheme="minorHAnsi" w:cstheme="minorHAnsi"/>
          <w:sz w:val="24"/>
          <w:szCs w:val="24"/>
        </w:rPr>
        <w:t xml:space="preserve">, obtained from the </w:t>
      </w:r>
      <w:proofErr w:type="spellStart"/>
      <w:r w:rsidRPr="00913076">
        <w:rPr>
          <w:rStyle w:val="Bodytext1"/>
          <w:rFonts w:asciiTheme="minorHAnsi" w:hAnsiTheme="minorHAnsi" w:cstheme="minorHAnsi"/>
          <w:i/>
          <w:iCs/>
          <w:sz w:val="24"/>
          <w:szCs w:val="24"/>
        </w:rPr>
        <w:t>postos</w:t>
      </w:r>
      <w:proofErr w:type="spellEnd"/>
      <w:r w:rsidRPr="00913076">
        <w:rPr>
          <w:rStyle w:val="Bodytext1"/>
          <w:rFonts w:asciiTheme="minorHAnsi" w:hAnsiTheme="minorHAnsi" w:cstheme="minorHAnsi"/>
          <w:i/>
          <w:iCs/>
          <w:sz w:val="24"/>
          <w:szCs w:val="24"/>
        </w:rPr>
        <w:t xml:space="preserve"> </w:t>
      </w:r>
      <w:proofErr w:type="spellStart"/>
      <w:r w:rsidRPr="00913076">
        <w:rPr>
          <w:rStyle w:val="Bodytext1"/>
          <w:rFonts w:asciiTheme="minorHAnsi" w:hAnsiTheme="minorHAnsi" w:cstheme="minorHAnsi"/>
          <w:i/>
          <w:iCs/>
          <w:sz w:val="24"/>
          <w:szCs w:val="24"/>
        </w:rPr>
        <w:t>administrativos</w:t>
      </w:r>
      <w:proofErr w:type="spellEnd"/>
      <w:r w:rsidRPr="00913076">
        <w:rPr>
          <w:rStyle w:val="Bodytext1"/>
          <w:rFonts w:asciiTheme="minorHAnsi" w:hAnsiTheme="minorHAnsi" w:cstheme="minorHAnsi"/>
          <w:i/>
          <w:iCs/>
          <w:sz w:val="24"/>
          <w:szCs w:val="24"/>
        </w:rPr>
        <w:t>.</w:t>
      </w:r>
      <w:r w:rsidRPr="00913076">
        <w:rPr>
          <w:rStyle w:val="Bodytext1"/>
          <w:rFonts w:asciiTheme="minorHAnsi" w:hAnsiTheme="minorHAnsi" w:cstheme="minorHAnsi"/>
          <w:sz w:val="24"/>
          <w:szCs w:val="24"/>
        </w:rPr>
        <w:t xml:space="preserve"> Villages will then be randomly selected using probability proportional to size (PPS). Villages will be the primary unit of sampling through which households and eligible children will be selected randomly. This may be reviewed once the study starts if this approach is not feasible in practice.</w:t>
      </w:r>
    </w:p>
    <w:p w14:paraId="5E0AF9F0" w14:textId="32378D06" w:rsidR="00312368" w:rsidRPr="00913076" w:rsidRDefault="005243FD" w:rsidP="00330C7E">
      <w:pPr>
        <w:pStyle w:val="Bodytext10"/>
        <w:spacing w:after="380" w:line="338" w:lineRule="auto"/>
        <w:jc w:val="both"/>
        <w:rPr>
          <w:rFonts w:asciiTheme="minorHAnsi" w:hAnsiTheme="minorHAnsi" w:cstheme="minorHAnsi"/>
          <w:sz w:val="24"/>
          <w:szCs w:val="24"/>
        </w:rPr>
      </w:pPr>
      <w:r w:rsidRPr="00913076">
        <w:rPr>
          <w:rStyle w:val="Bodytext1"/>
          <w:rFonts w:asciiTheme="minorHAnsi" w:hAnsiTheme="minorHAnsi" w:cstheme="minorHAnsi"/>
          <w:sz w:val="24"/>
          <w:szCs w:val="24"/>
        </w:rPr>
        <w:t xml:space="preserve">A primary caregiver in this survey refers to any individual, aged 18 years or over, with the primary responsibility for the feeding and daily care of at least one child under the age of five, in a household where he or she has been resident prior to the start of the SMC </w:t>
      </w:r>
      <w:r w:rsidR="009234E3" w:rsidRPr="00913076">
        <w:rPr>
          <w:rStyle w:val="Bodytext1"/>
          <w:rFonts w:asciiTheme="minorHAnsi" w:hAnsiTheme="minorHAnsi" w:cstheme="minorHAnsi"/>
          <w:sz w:val="24"/>
          <w:szCs w:val="24"/>
        </w:rPr>
        <w:t>campaign</w:t>
      </w:r>
      <w:r w:rsidRPr="00913076">
        <w:rPr>
          <w:rStyle w:val="Bodytext1"/>
          <w:rFonts w:asciiTheme="minorHAnsi" w:hAnsiTheme="minorHAnsi" w:cstheme="minorHAnsi"/>
          <w:sz w:val="24"/>
          <w:szCs w:val="24"/>
        </w:rPr>
        <w:t xml:space="preserve"> or one month before the last cycle of the treatment.</w:t>
      </w:r>
    </w:p>
    <w:p w14:paraId="66235A1B" w14:textId="77777777" w:rsidR="00312368" w:rsidRPr="00913076" w:rsidRDefault="005243FD" w:rsidP="00330C7E">
      <w:pPr>
        <w:pStyle w:val="Bodytext10"/>
        <w:spacing w:after="540"/>
        <w:jc w:val="both"/>
        <w:rPr>
          <w:rFonts w:asciiTheme="minorHAnsi" w:hAnsiTheme="minorHAnsi" w:cstheme="minorHAnsi"/>
          <w:color w:val="00B050"/>
          <w:sz w:val="24"/>
          <w:szCs w:val="24"/>
        </w:rPr>
      </w:pPr>
      <w:r w:rsidRPr="00913076">
        <w:rPr>
          <w:rStyle w:val="Bodytext1"/>
          <w:rFonts w:asciiTheme="minorHAnsi" w:hAnsiTheme="minorHAnsi" w:cstheme="minorHAnsi"/>
          <w:b/>
          <w:bCs/>
          <w:color w:val="00B050"/>
          <w:sz w:val="24"/>
          <w:szCs w:val="24"/>
        </w:rPr>
        <w:t>For total survey</w:t>
      </w:r>
    </w:p>
    <w:p w14:paraId="34D29EA9" w14:textId="77777777" w:rsidR="004A78F8" w:rsidRPr="00913076" w:rsidRDefault="004A78F8" w:rsidP="00330C7E">
      <w:pPr>
        <w:pStyle w:val="Bodytext10"/>
        <w:numPr>
          <w:ilvl w:val="0"/>
          <w:numId w:val="22"/>
        </w:numPr>
        <w:tabs>
          <w:tab w:val="left" w:pos="686"/>
        </w:tabs>
        <w:spacing w:after="0" w:line="290" w:lineRule="auto"/>
        <w:ind w:firstLine="340"/>
        <w:jc w:val="both"/>
        <w:rPr>
          <w:rFonts w:asciiTheme="minorHAnsi" w:hAnsiTheme="minorHAnsi" w:cstheme="minorHAnsi"/>
          <w:sz w:val="24"/>
          <w:szCs w:val="24"/>
        </w:rPr>
      </w:pPr>
      <w:r w:rsidRPr="00913076">
        <w:rPr>
          <w:rStyle w:val="Bodytext1"/>
          <w:rFonts w:asciiTheme="minorHAnsi" w:hAnsiTheme="minorHAnsi" w:cstheme="minorHAnsi"/>
          <w:sz w:val="24"/>
          <w:szCs w:val="24"/>
        </w:rPr>
        <w:t>The assumed intra-cluster correlation (ICC) is 0.2</w:t>
      </w:r>
    </w:p>
    <w:p w14:paraId="0F1D7917" w14:textId="77777777" w:rsidR="004A78F8" w:rsidRPr="00913076" w:rsidRDefault="004A78F8" w:rsidP="00330C7E">
      <w:pPr>
        <w:pStyle w:val="Bodytext10"/>
        <w:numPr>
          <w:ilvl w:val="0"/>
          <w:numId w:val="22"/>
        </w:numPr>
        <w:tabs>
          <w:tab w:val="left" w:pos="686"/>
        </w:tabs>
        <w:spacing w:after="0" w:line="290" w:lineRule="auto"/>
        <w:ind w:firstLine="340"/>
        <w:jc w:val="both"/>
        <w:rPr>
          <w:rFonts w:asciiTheme="minorHAnsi" w:hAnsiTheme="minorHAnsi" w:cstheme="minorHAnsi"/>
          <w:sz w:val="24"/>
          <w:szCs w:val="24"/>
        </w:rPr>
      </w:pPr>
      <w:r w:rsidRPr="00913076">
        <w:rPr>
          <w:rStyle w:val="Bodytext1"/>
          <w:rFonts w:asciiTheme="minorHAnsi" w:hAnsiTheme="minorHAnsi" w:cstheme="minorHAnsi"/>
          <w:sz w:val="24"/>
          <w:szCs w:val="24"/>
        </w:rPr>
        <w:t>15 eligible children per cluster</w:t>
      </w:r>
    </w:p>
    <w:p w14:paraId="6B67AEC1" w14:textId="6D5B75F7" w:rsidR="004A78F8" w:rsidRPr="00913076" w:rsidRDefault="004A78F8" w:rsidP="00330C7E">
      <w:pPr>
        <w:pStyle w:val="Bodytext10"/>
        <w:numPr>
          <w:ilvl w:val="0"/>
          <w:numId w:val="22"/>
        </w:numPr>
        <w:tabs>
          <w:tab w:val="left" w:pos="686"/>
        </w:tabs>
        <w:spacing w:after="0" w:line="290" w:lineRule="auto"/>
        <w:ind w:left="660" w:hanging="320"/>
        <w:jc w:val="both"/>
        <w:rPr>
          <w:rStyle w:val="Bodytext1"/>
          <w:rFonts w:asciiTheme="minorHAnsi" w:hAnsiTheme="minorHAnsi" w:cstheme="minorHAnsi"/>
          <w:sz w:val="24"/>
          <w:szCs w:val="24"/>
        </w:rPr>
      </w:pPr>
      <w:r w:rsidRPr="00913076">
        <w:rPr>
          <w:rStyle w:val="Bodytext1"/>
          <w:rFonts w:asciiTheme="minorHAnsi" w:hAnsiTheme="minorHAnsi" w:cstheme="minorHAnsi"/>
          <w:sz w:val="24"/>
          <w:szCs w:val="24"/>
        </w:rPr>
        <w:t>The (design/cluster effect) = 1 + (b-1) * ICC= 1 + (15-1) * 0.2 = 3.8</w:t>
      </w:r>
    </w:p>
    <w:p w14:paraId="1111A22D" w14:textId="70363A4E" w:rsidR="00312368" w:rsidRPr="00913076" w:rsidRDefault="005243FD" w:rsidP="00330C7E">
      <w:pPr>
        <w:pStyle w:val="Bodytext10"/>
        <w:numPr>
          <w:ilvl w:val="0"/>
          <w:numId w:val="22"/>
        </w:numPr>
        <w:tabs>
          <w:tab w:val="left" w:pos="686"/>
        </w:tabs>
        <w:spacing w:after="0" w:line="290" w:lineRule="auto"/>
        <w:ind w:left="660" w:hanging="320"/>
        <w:jc w:val="both"/>
        <w:rPr>
          <w:rFonts w:asciiTheme="minorHAnsi" w:hAnsiTheme="minorHAnsi" w:cstheme="minorHAnsi"/>
          <w:sz w:val="24"/>
          <w:szCs w:val="24"/>
        </w:rPr>
      </w:pPr>
      <w:r w:rsidRPr="00913076">
        <w:rPr>
          <w:rStyle w:val="Bodytext1"/>
          <w:rFonts w:asciiTheme="minorHAnsi" w:hAnsiTheme="minorHAnsi" w:cstheme="minorHAnsi"/>
          <w:sz w:val="24"/>
          <w:szCs w:val="24"/>
        </w:rPr>
        <w:t>The coverage rate of SMC in children aged 0-4 years of at least 80% (and in children aged 5-9 years of at most 20%)</w:t>
      </w:r>
    </w:p>
    <w:p w14:paraId="6C87624D" w14:textId="77777777" w:rsidR="00312368" w:rsidRPr="00913076" w:rsidRDefault="005243FD" w:rsidP="00330C7E">
      <w:pPr>
        <w:pStyle w:val="Bodytext10"/>
        <w:numPr>
          <w:ilvl w:val="0"/>
          <w:numId w:val="22"/>
        </w:numPr>
        <w:tabs>
          <w:tab w:val="left" w:pos="686"/>
        </w:tabs>
        <w:spacing w:after="0" w:line="290" w:lineRule="auto"/>
        <w:ind w:firstLine="340"/>
        <w:jc w:val="both"/>
        <w:rPr>
          <w:rFonts w:asciiTheme="minorHAnsi" w:hAnsiTheme="minorHAnsi" w:cstheme="minorHAnsi"/>
          <w:sz w:val="24"/>
          <w:szCs w:val="24"/>
        </w:rPr>
      </w:pPr>
      <w:r w:rsidRPr="00913076">
        <w:rPr>
          <w:rStyle w:val="Bodytext1"/>
          <w:rFonts w:asciiTheme="minorHAnsi" w:hAnsiTheme="minorHAnsi" w:cstheme="minorHAnsi"/>
          <w:sz w:val="24"/>
          <w:szCs w:val="24"/>
        </w:rPr>
        <w:t>A margin of error of 5%</w:t>
      </w:r>
    </w:p>
    <w:p w14:paraId="20D30887" w14:textId="6A255F7E" w:rsidR="00312368" w:rsidRPr="00913076" w:rsidRDefault="005243FD" w:rsidP="00330C7E">
      <w:pPr>
        <w:pStyle w:val="Bodytext10"/>
        <w:numPr>
          <w:ilvl w:val="0"/>
          <w:numId w:val="22"/>
        </w:numPr>
        <w:tabs>
          <w:tab w:val="left" w:pos="686"/>
        </w:tabs>
        <w:spacing w:after="0" w:line="290" w:lineRule="auto"/>
        <w:ind w:firstLine="340"/>
        <w:jc w:val="both"/>
        <w:rPr>
          <w:rFonts w:asciiTheme="minorHAnsi" w:hAnsiTheme="minorHAnsi" w:cstheme="minorHAnsi"/>
          <w:sz w:val="24"/>
          <w:szCs w:val="24"/>
        </w:rPr>
      </w:pPr>
      <w:r w:rsidRPr="00913076">
        <w:rPr>
          <w:rStyle w:val="Bodytext1"/>
          <w:rFonts w:asciiTheme="minorHAnsi" w:hAnsiTheme="minorHAnsi" w:cstheme="minorHAnsi"/>
          <w:sz w:val="24"/>
          <w:szCs w:val="24"/>
        </w:rPr>
        <w:t>Finite population adjustment is applied (</w:t>
      </w:r>
      <w:r w:rsidR="009234E3" w:rsidRPr="00913076">
        <w:rPr>
          <w:rStyle w:val="Bodytext1"/>
          <w:rFonts w:asciiTheme="minorHAnsi" w:hAnsiTheme="minorHAnsi" w:cstheme="minorHAnsi"/>
          <w:sz w:val="24"/>
          <w:szCs w:val="24"/>
        </w:rPr>
        <w:t>1.3 million</w:t>
      </w:r>
      <w:r w:rsidRPr="00913076">
        <w:rPr>
          <w:rStyle w:val="Bodytext1"/>
          <w:rFonts w:asciiTheme="minorHAnsi" w:hAnsiTheme="minorHAnsi" w:cstheme="minorHAnsi"/>
          <w:sz w:val="24"/>
          <w:szCs w:val="24"/>
        </w:rPr>
        <w:t>)</w:t>
      </w:r>
    </w:p>
    <w:p w14:paraId="5AFAF3E4" w14:textId="77777777" w:rsidR="00312368" w:rsidRPr="00913076" w:rsidRDefault="005243FD" w:rsidP="00330C7E">
      <w:pPr>
        <w:pStyle w:val="Bodytext10"/>
        <w:numPr>
          <w:ilvl w:val="0"/>
          <w:numId w:val="22"/>
        </w:numPr>
        <w:tabs>
          <w:tab w:val="left" w:pos="686"/>
        </w:tabs>
        <w:spacing w:after="0" w:line="290" w:lineRule="auto"/>
        <w:ind w:firstLine="340"/>
        <w:jc w:val="both"/>
        <w:rPr>
          <w:rFonts w:asciiTheme="minorHAnsi" w:hAnsiTheme="minorHAnsi" w:cstheme="minorHAnsi"/>
          <w:sz w:val="24"/>
          <w:szCs w:val="24"/>
        </w:rPr>
      </w:pPr>
      <w:r w:rsidRPr="00913076">
        <w:rPr>
          <w:rStyle w:val="Bodytext1"/>
          <w:rFonts w:asciiTheme="minorHAnsi" w:hAnsiTheme="minorHAnsi" w:cstheme="minorHAnsi"/>
          <w:sz w:val="24"/>
          <w:szCs w:val="24"/>
        </w:rPr>
        <w:t>Non-response rate of 5%</w:t>
      </w:r>
    </w:p>
    <w:p w14:paraId="686B4B4A" w14:textId="77777777" w:rsidR="00312368" w:rsidRPr="00913076" w:rsidRDefault="005243FD" w:rsidP="00330C7E">
      <w:pPr>
        <w:pStyle w:val="Bodytext10"/>
        <w:numPr>
          <w:ilvl w:val="0"/>
          <w:numId w:val="22"/>
        </w:numPr>
        <w:tabs>
          <w:tab w:val="left" w:pos="686"/>
        </w:tabs>
        <w:spacing w:after="140" w:line="290" w:lineRule="auto"/>
        <w:ind w:firstLine="340"/>
        <w:jc w:val="both"/>
        <w:rPr>
          <w:rFonts w:asciiTheme="minorHAnsi" w:hAnsiTheme="minorHAnsi" w:cstheme="minorHAnsi"/>
          <w:sz w:val="24"/>
          <w:szCs w:val="24"/>
        </w:rPr>
      </w:pPr>
      <w:r w:rsidRPr="00913076">
        <w:rPr>
          <w:rStyle w:val="Bodytext1"/>
          <w:rFonts w:asciiTheme="minorHAnsi" w:hAnsiTheme="minorHAnsi" w:cstheme="minorHAnsi"/>
          <w:sz w:val="24"/>
          <w:szCs w:val="24"/>
        </w:rPr>
        <w:t xml:space="preserve">Assumed ratio of children aged 5-9 years to those aged 0-4 years of </w:t>
      </w:r>
      <w:proofErr w:type="gramStart"/>
      <w:r w:rsidRPr="00913076">
        <w:rPr>
          <w:rStyle w:val="Bodytext1"/>
          <w:rFonts w:asciiTheme="minorHAnsi" w:hAnsiTheme="minorHAnsi" w:cstheme="minorHAnsi"/>
          <w:sz w:val="24"/>
          <w:szCs w:val="24"/>
        </w:rPr>
        <w:t>0.88</w:t>
      </w:r>
      <w:proofErr w:type="gramEnd"/>
    </w:p>
    <w:p w14:paraId="77345170" w14:textId="77777777" w:rsidR="00312368" w:rsidRPr="00913076" w:rsidRDefault="005243FD" w:rsidP="00330C7E">
      <w:pPr>
        <w:pStyle w:val="Bodytext10"/>
        <w:spacing w:after="540" w:line="290" w:lineRule="auto"/>
        <w:jc w:val="both"/>
        <w:rPr>
          <w:rFonts w:asciiTheme="minorHAnsi" w:hAnsiTheme="minorHAnsi" w:cstheme="minorHAnsi"/>
          <w:sz w:val="24"/>
          <w:szCs w:val="24"/>
        </w:rPr>
      </w:pPr>
      <w:r w:rsidRPr="00913076">
        <w:rPr>
          <w:rStyle w:val="Bodytext1"/>
          <w:rFonts w:asciiTheme="minorHAnsi" w:hAnsiTheme="minorHAnsi" w:cstheme="minorHAnsi"/>
          <w:b/>
          <w:bCs/>
          <w:sz w:val="24"/>
          <w:szCs w:val="24"/>
          <w:u w:val="single"/>
        </w:rPr>
        <w:t>Stata output:</w:t>
      </w:r>
    </w:p>
    <w:p w14:paraId="2D2523AF" w14:textId="77777777" w:rsidR="00312368" w:rsidRPr="00913076" w:rsidRDefault="005243FD" w:rsidP="00330C7E">
      <w:pPr>
        <w:pStyle w:val="Bodytext10"/>
        <w:spacing w:after="140" w:line="290" w:lineRule="auto"/>
        <w:jc w:val="both"/>
        <w:rPr>
          <w:rFonts w:asciiTheme="minorHAnsi" w:hAnsiTheme="minorHAnsi" w:cstheme="minorHAnsi"/>
          <w:sz w:val="24"/>
          <w:szCs w:val="24"/>
        </w:rPr>
      </w:pPr>
      <w:r w:rsidRPr="00913076">
        <w:rPr>
          <w:rStyle w:val="Bodytext1"/>
          <w:rFonts w:asciiTheme="minorHAnsi" w:hAnsiTheme="minorHAnsi" w:cstheme="minorHAnsi"/>
          <w:b/>
          <w:bCs/>
          <w:sz w:val="24"/>
          <w:szCs w:val="24"/>
        </w:rPr>
        <w:t>Estimated sample size needed to survey, assuming the following:</w:t>
      </w:r>
    </w:p>
    <w:p w14:paraId="04D6BCEE" w14:textId="606FE621" w:rsidR="00312368" w:rsidRPr="00913076" w:rsidRDefault="005243FD" w:rsidP="00330C7E">
      <w:pPr>
        <w:pStyle w:val="Bodytext10"/>
        <w:pBdr>
          <w:top w:val="single" w:sz="4" w:space="0" w:color="auto"/>
          <w:left w:val="single" w:sz="4" w:space="0" w:color="auto"/>
          <w:bottom w:val="single" w:sz="4" w:space="0" w:color="auto"/>
          <w:right w:val="single" w:sz="4" w:space="0" w:color="auto"/>
        </w:pBdr>
        <w:spacing w:after="140" w:line="290" w:lineRule="auto"/>
        <w:jc w:val="both"/>
        <w:rPr>
          <w:rFonts w:asciiTheme="minorHAnsi" w:hAnsiTheme="minorHAnsi" w:cstheme="minorHAnsi"/>
          <w:sz w:val="24"/>
          <w:szCs w:val="24"/>
        </w:rPr>
      </w:pPr>
      <w:r w:rsidRPr="00913076">
        <w:rPr>
          <w:rStyle w:val="Bodytext1"/>
          <w:rFonts w:asciiTheme="minorHAnsi" w:hAnsiTheme="minorHAnsi" w:cstheme="minorHAnsi"/>
          <w:sz w:val="24"/>
          <w:szCs w:val="24"/>
        </w:rPr>
        <w:t xml:space="preserve">Population size: </w:t>
      </w:r>
      <w:r w:rsidR="009234E3" w:rsidRPr="00913076">
        <w:rPr>
          <w:rStyle w:val="Bodytext1"/>
          <w:rFonts w:asciiTheme="minorHAnsi" w:hAnsiTheme="minorHAnsi" w:cstheme="minorHAnsi"/>
          <w:sz w:val="24"/>
          <w:szCs w:val="24"/>
        </w:rPr>
        <w:t>1.300.000</w:t>
      </w:r>
    </w:p>
    <w:p w14:paraId="3D1AAD75" w14:textId="77777777" w:rsidR="00312368" w:rsidRPr="00913076" w:rsidRDefault="005243FD" w:rsidP="00330C7E">
      <w:pPr>
        <w:pStyle w:val="Bodytext10"/>
        <w:pBdr>
          <w:top w:val="single" w:sz="4" w:space="0" w:color="auto"/>
          <w:left w:val="single" w:sz="4" w:space="0" w:color="auto"/>
          <w:bottom w:val="single" w:sz="4" w:space="0" w:color="auto"/>
          <w:right w:val="single" w:sz="4" w:space="0" w:color="auto"/>
        </w:pBdr>
        <w:spacing w:after="140" w:line="290" w:lineRule="auto"/>
        <w:ind w:firstLine="240"/>
        <w:jc w:val="both"/>
        <w:rPr>
          <w:rFonts w:asciiTheme="minorHAnsi" w:hAnsiTheme="minorHAnsi" w:cstheme="minorHAnsi"/>
          <w:sz w:val="24"/>
          <w:szCs w:val="24"/>
        </w:rPr>
      </w:pPr>
      <w:r w:rsidRPr="00913076">
        <w:rPr>
          <w:rStyle w:val="Bodytext1"/>
          <w:rFonts w:asciiTheme="minorHAnsi" w:hAnsiTheme="minorHAnsi" w:cstheme="minorHAnsi"/>
          <w:sz w:val="24"/>
          <w:szCs w:val="24"/>
        </w:rPr>
        <w:t>Proportion of sample with the expected outcome: 0.80</w:t>
      </w:r>
    </w:p>
    <w:p w14:paraId="437D47C8" w14:textId="77777777" w:rsidR="00312368" w:rsidRPr="00913076" w:rsidRDefault="005243FD" w:rsidP="00330C7E">
      <w:pPr>
        <w:pStyle w:val="Bodytext10"/>
        <w:pBdr>
          <w:top w:val="single" w:sz="4" w:space="0" w:color="auto"/>
          <w:left w:val="single" w:sz="4" w:space="0" w:color="auto"/>
          <w:bottom w:val="single" w:sz="4" w:space="0" w:color="auto"/>
          <w:right w:val="single" w:sz="4" w:space="0" w:color="auto"/>
        </w:pBdr>
        <w:spacing w:after="140" w:line="290" w:lineRule="auto"/>
        <w:ind w:firstLine="240"/>
        <w:jc w:val="both"/>
        <w:rPr>
          <w:rFonts w:asciiTheme="minorHAnsi" w:hAnsiTheme="minorHAnsi" w:cstheme="minorHAnsi"/>
          <w:sz w:val="24"/>
          <w:szCs w:val="24"/>
        </w:rPr>
      </w:pPr>
      <w:r w:rsidRPr="00913076">
        <w:rPr>
          <w:rStyle w:val="Bodytext1"/>
          <w:rFonts w:asciiTheme="minorHAnsi" w:hAnsiTheme="minorHAnsi" w:cstheme="minorHAnsi"/>
          <w:sz w:val="24"/>
          <w:szCs w:val="24"/>
        </w:rPr>
        <w:t>Margin of error: +/- 5.0 %</w:t>
      </w:r>
    </w:p>
    <w:p w14:paraId="38379B2C" w14:textId="472BA652" w:rsidR="00312368" w:rsidRPr="00913076" w:rsidRDefault="005243FD" w:rsidP="00330C7E">
      <w:pPr>
        <w:pStyle w:val="Bodytext10"/>
        <w:pBdr>
          <w:top w:val="single" w:sz="4" w:space="0" w:color="auto"/>
          <w:left w:val="single" w:sz="4" w:space="0" w:color="auto"/>
          <w:bottom w:val="single" w:sz="4" w:space="0" w:color="auto"/>
          <w:right w:val="single" w:sz="4" w:space="0" w:color="auto"/>
        </w:pBdr>
        <w:spacing w:after="540" w:line="290" w:lineRule="auto"/>
        <w:ind w:firstLine="240"/>
        <w:jc w:val="both"/>
        <w:rPr>
          <w:rStyle w:val="Bodytext1"/>
          <w:rFonts w:asciiTheme="minorHAnsi" w:hAnsiTheme="minorHAnsi" w:cstheme="minorHAnsi"/>
          <w:sz w:val="24"/>
          <w:szCs w:val="24"/>
        </w:rPr>
      </w:pPr>
      <w:r w:rsidRPr="00913076">
        <w:rPr>
          <w:rStyle w:val="Bodytext1"/>
          <w:rFonts w:asciiTheme="minorHAnsi" w:hAnsiTheme="minorHAnsi" w:cstheme="minorHAnsi"/>
          <w:sz w:val="24"/>
          <w:szCs w:val="24"/>
        </w:rPr>
        <w:t>Confidence level: 95.0 %</w:t>
      </w:r>
    </w:p>
    <w:p w14:paraId="3B155817" w14:textId="7C12817F" w:rsidR="00884E8C" w:rsidRPr="00913076" w:rsidRDefault="00884E8C" w:rsidP="00330C7E">
      <w:pPr>
        <w:pStyle w:val="Bodytext10"/>
        <w:pBdr>
          <w:top w:val="single" w:sz="4" w:space="0" w:color="auto"/>
          <w:left w:val="single" w:sz="4" w:space="0" w:color="auto"/>
          <w:bottom w:val="single" w:sz="4" w:space="0" w:color="auto"/>
          <w:right w:val="single" w:sz="4" w:space="0" w:color="auto"/>
        </w:pBdr>
        <w:spacing w:after="140" w:line="290" w:lineRule="auto"/>
        <w:jc w:val="both"/>
        <w:rPr>
          <w:rStyle w:val="Bodytext1"/>
          <w:rFonts w:asciiTheme="minorHAnsi" w:hAnsiTheme="minorHAnsi" w:cstheme="minorHAnsi"/>
          <w:sz w:val="24"/>
          <w:szCs w:val="24"/>
        </w:rPr>
      </w:pPr>
      <w:r w:rsidRPr="00913076">
        <w:rPr>
          <w:rStyle w:val="Bodytext1"/>
          <w:rFonts w:asciiTheme="minorHAnsi" w:hAnsiTheme="minorHAnsi" w:cstheme="minorHAnsi"/>
          <w:sz w:val="24"/>
          <w:szCs w:val="24"/>
        </w:rPr>
        <w:t>Design effect: 3.8 (assuming intraclass correlation coefficient of 0.2 and cluster size of 15 households)</w:t>
      </w:r>
    </w:p>
    <w:p w14:paraId="6CFED1DB" w14:textId="5D09C8DD" w:rsidR="00884E8C" w:rsidRPr="00913076" w:rsidRDefault="00884E8C" w:rsidP="00330C7E">
      <w:pPr>
        <w:pStyle w:val="Bodytext10"/>
        <w:pBdr>
          <w:top w:val="single" w:sz="4" w:space="0" w:color="auto"/>
          <w:left w:val="single" w:sz="4" w:space="0" w:color="auto"/>
          <w:bottom w:val="single" w:sz="4" w:space="0" w:color="auto"/>
          <w:right w:val="single" w:sz="4" w:space="0" w:color="auto"/>
        </w:pBdr>
        <w:spacing w:after="140" w:line="290" w:lineRule="auto"/>
        <w:jc w:val="both"/>
        <w:rPr>
          <w:rStyle w:val="Bodytext1"/>
          <w:rFonts w:asciiTheme="minorHAnsi" w:hAnsiTheme="minorHAnsi" w:cstheme="minorHAnsi"/>
          <w:sz w:val="24"/>
          <w:szCs w:val="24"/>
        </w:rPr>
      </w:pPr>
      <w:r w:rsidRPr="00913076">
        <w:rPr>
          <w:rStyle w:val="Bodytext1"/>
          <w:rFonts w:asciiTheme="minorHAnsi" w:hAnsiTheme="minorHAnsi" w:cstheme="minorHAnsi"/>
          <w:sz w:val="24"/>
          <w:szCs w:val="24"/>
        </w:rPr>
        <w:t>Response rate: 95%</w:t>
      </w:r>
    </w:p>
    <w:p w14:paraId="458F2FEC" w14:textId="2AF79C68" w:rsidR="00884E8C" w:rsidRPr="00913076" w:rsidRDefault="00884E8C" w:rsidP="00330C7E">
      <w:pPr>
        <w:pStyle w:val="Bodytext10"/>
        <w:pBdr>
          <w:top w:val="single" w:sz="4" w:space="0" w:color="auto"/>
          <w:left w:val="single" w:sz="4" w:space="0" w:color="auto"/>
          <w:bottom w:val="single" w:sz="4" w:space="0" w:color="auto"/>
          <w:right w:val="single" w:sz="4" w:space="0" w:color="auto"/>
        </w:pBdr>
        <w:spacing w:after="140" w:line="290" w:lineRule="auto"/>
        <w:jc w:val="both"/>
        <w:rPr>
          <w:rFonts w:asciiTheme="minorHAnsi" w:hAnsiTheme="minorHAnsi" w:cstheme="minorHAnsi"/>
          <w:sz w:val="24"/>
          <w:szCs w:val="24"/>
        </w:rPr>
      </w:pPr>
    </w:p>
    <w:p w14:paraId="4848C6D1" w14:textId="77777777" w:rsidR="00312368" w:rsidRPr="00913076" w:rsidRDefault="005243FD" w:rsidP="00330C7E">
      <w:pPr>
        <w:pStyle w:val="Bodytext10"/>
        <w:pBdr>
          <w:top w:val="single" w:sz="4" w:space="0" w:color="auto"/>
          <w:left w:val="single" w:sz="4" w:space="0" w:color="auto"/>
          <w:bottom w:val="single" w:sz="4" w:space="0" w:color="auto"/>
          <w:right w:val="single" w:sz="4" w:space="0" w:color="auto"/>
        </w:pBdr>
        <w:spacing w:after="140" w:line="290" w:lineRule="auto"/>
        <w:jc w:val="both"/>
        <w:rPr>
          <w:rFonts w:asciiTheme="minorHAnsi" w:hAnsiTheme="minorHAnsi" w:cstheme="minorHAnsi"/>
          <w:sz w:val="24"/>
          <w:szCs w:val="24"/>
        </w:rPr>
      </w:pPr>
      <w:r w:rsidRPr="00913076">
        <w:rPr>
          <w:rStyle w:val="Bodytext1"/>
          <w:rFonts w:asciiTheme="minorHAnsi" w:hAnsiTheme="minorHAnsi" w:cstheme="minorHAnsi"/>
          <w:sz w:val="24"/>
          <w:szCs w:val="24"/>
        </w:rPr>
        <w:t>Estimated required sample size:</w:t>
      </w:r>
    </w:p>
    <w:p w14:paraId="2B0025FB" w14:textId="660326B1" w:rsidR="00312368" w:rsidRPr="00913076" w:rsidRDefault="005243FD" w:rsidP="00330C7E">
      <w:pPr>
        <w:pStyle w:val="Bodytext10"/>
        <w:pBdr>
          <w:top w:val="single" w:sz="4" w:space="0" w:color="auto"/>
          <w:left w:val="single" w:sz="4" w:space="0" w:color="auto"/>
          <w:bottom w:val="single" w:sz="4" w:space="0" w:color="auto"/>
          <w:right w:val="single" w:sz="4" w:space="0" w:color="auto"/>
        </w:pBdr>
        <w:spacing w:after="540" w:line="290" w:lineRule="auto"/>
        <w:jc w:val="both"/>
        <w:rPr>
          <w:rFonts w:asciiTheme="minorHAnsi" w:hAnsiTheme="minorHAnsi" w:cstheme="minorHAnsi"/>
          <w:sz w:val="24"/>
          <w:szCs w:val="24"/>
        </w:rPr>
      </w:pPr>
      <w:r w:rsidRPr="00913076">
        <w:rPr>
          <w:rStyle w:val="Bodytext1"/>
          <w:rFonts w:asciiTheme="minorHAnsi" w:hAnsiTheme="minorHAnsi" w:cstheme="minorHAnsi"/>
          <w:sz w:val="24"/>
          <w:szCs w:val="24"/>
        </w:rPr>
        <w:t>n</w:t>
      </w:r>
      <w:r w:rsidR="00884E8C" w:rsidRPr="00913076">
        <w:rPr>
          <w:rStyle w:val="Bodytext1"/>
          <w:rFonts w:asciiTheme="minorHAnsi" w:hAnsiTheme="minorHAnsi" w:cstheme="minorHAnsi"/>
          <w:sz w:val="24"/>
          <w:szCs w:val="24"/>
        </w:rPr>
        <w:t>1</w:t>
      </w:r>
      <w:r w:rsidRPr="00913076">
        <w:rPr>
          <w:rStyle w:val="Bodytext1"/>
          <w:rFonts w:asciiTheme="minorHAnsi" w:hAnsiTheme="minorHAnsi" w:cstheme="minorHAnsi"/>
          <w:sz w:val="24"/>
          <w:szCs w:val="24"/>
        </w:rPr>
        <w:t xml:space="preserve"> = </w:t>
      </w:r>
      <w:r w:rsidR="00884E8C" w:rsidRPr="00913076">
        <w:rPr>
          <w:rStyle w:val="Bodytext1"/>
          <w:rFonts w:asciiTheme="minorHAnsi" w:hAnsiTheme="minorHAnsi" w:cstheme="minorHAnsi"/>
          <w:sz w:val="24"/>
          <w:szCs w:val="24"/>
        </w:rPr>
        <w:t>246</w:t>
      </w:r>
    </w:p>
    <w:p w14:paraId="3FBDD0CC" w14:textId="0EB41714" w:rsidR="00312368" w:rsidRPr="00913076" w:rsidRDefault="00884E8C" w:rsidP="00330C7E">
      <w:pPr>
        <w:pStyle w:val="Bodytext10"/>
        <w:pBdr>
          <w:top w:val="single" w:sz="4" w:space="0" w:color="auto"/>
          <w:left w:val="single" w:sz="4" w:space="0" w:color="auto"/>
          <w:bottom w:val="single" w:sz="4" w:space="0" w:color="auto"/>
          <w:right w:val="single" w:sz="4" w:space="0" w:color="auto"/>
        </w:pBdr>
        <w:spacing w:after="140" w:line="290" w:lineRule="auto"/>
        <w:jc w:val="both"/>
        <w:rPr>
          <w:rFonts w:asciiTheme="minorHAnsi" w:hAnsiTheme="minorHAnsi" w:cstheme="minorHAnsi"/>
          <w:sz w:val="24"/>
          <w:szCs w:val="24"/>
        </w:rPr>
      </w:pPr>
      <w:r w:rsidRPr="00913076">
        <w:rPr>
          <w:rStyle w:val="Bodytext1"/>
          <w:rFonts w:asciiTheme="minorHAnsi" w:hAnsiTheme="minorHAnsi" w:cstheme="minorHAnsi"/>
          <w:sz w:val="24"/>
          <w:szCs w:val="24"/>
        </w:rPr>
        <w:t>Sample size adjusted for design effect (3.8) and response rate (95%)</w:t>
      </w:r>
    </w:p>
    <w:p w14:paraId="4771ED7B" w14:textId="7FF7150F" w:rsidR="00312368" w:rsidRPr="00913076" w:rsidRDefault="00884E8C" w:rsidP="00330C7E">
      <w:pPr>
        <w:pStyle w:val="Bodytext10"/>
        <w:pBdr>
          <w:top w:val="single" w:sz="4" w:space="0" w:color="auto"/>
          <w:left w:val="single" w:sz="4" w:space="0" w:color="auto"/>
          <w:bottom w:val="single" w:sz="4" w:space="0" w:color="auto"/>
          <w:right w:val="single" w:sz="4" w:space="0" w:color="auto"/>
        </w:pBdr>
        <w:spacing w:after="140" w:line="290" w:lineRule="auto"/>
        <w:jc w:val="both"/>
        <w:rPr>
          <w:rFonts w:asciiTheme="minorHAnsi" w:hAnsiTheme="minorHAnsi" w:cstheme="minorHAnsi"/>
          <w:sz w:val="24"/>
          <w:szCs w:val="24"/>
        </w:rPr>
      </w:pPr>
      <w:r w:rsidRPr="00913076">
        <w:rPr>
          <w:rStyle w:val="Bodytext1"/>
          <w:rFonts w:asciiTheme="minorHAnsi" w:hAnsiTheme="minorHAnsi" w:cstheme="minorHAnsi"/>
          <w:sz w:val="24"/>
          <w:szCs w:val="24"/>
        </w:rPr>
        <w:t>n2 = 9</w:t>
      </w:r>
      <w:r w:rsidR="00B123A5" w:rsidRPr="00913076">
        <w:rPr>
          <w:rStyle w:val="Bodytext1"/>
          <w:rFonts w:asciiTheme="minorHAnsi" w:hAnsiTheme="minorHAnsi" w:cstheme="minorHAnsi"/>
          <w:sz w:val="24"/>
          <w:szCs w:val="24"/>
        </w:rPr>
        <w:t>83</w:t>
      </w:r>
    </w:p>
    <w:p w14:paraId="7D32F0E4" w14:textId="568103BA" w:rsidR="00312368" w:rsidRPr="00913076" w:rsidRDefault="00B123A5" w:rsidP="00330C7E">
      <w:pPr>
        <w:pStyle w:val="Bodytext10"/>
        <w:pBdr>
          <w:top w:val="single" w:sz="4" w:space="0" w:color="auto"/>
          <w:left w:val="single" w:sz="4" w:space="0" w:color="auto"/>
          <w:bottom w:val="single" w:sz="4" w:space="0" w:color="auto"/>
          <w:right w:val="single" w:sz="4" w:space="0" w:color="auto"/>
        </w:pBdr>
        <w:spacing w:after="500"/>
        <w:jc w:val="both"/>
        <w:rPr>
          <w:rFonts w:asciiTheme="minorHAnsi" w:hAnsiTheme="minorHAnsi" w:cstheme="minorHAnsi"/>
          <w:sz w:val="24"/>
          <w:szCs w:val="24"/>
        </w:rPr>
      </w:pPr>
      <w:r w:rsidRPr="00913076">
        <w:rPr>
          <w:rStyle w:val="Bodytext1"/>
          <w:rFonts w:asciiTheme="minorHAnsi" w:hAnsiTheme="minorHAnsi" w:cstheme="minorHAnsi"/>
          <w:sz w:val="24"/>
          <w:szCs w:val="24"/>
        </w:rPr>
        <w:t xml:space="preserve">Sample size multiplied by 1+ratio </w:t>
      </w:r>
      <w:r w:rsidRPr="00913076">
        <w:rPr>
          <w:rFonts w:asciiTheme="minorHAnsi" w:hAnsiTheme="minorHAnsi" w:cstheme="minorHAnsi"/>
          <w:sz w:val="24"/>
          <w:szCs w:val="24"/>
        </w:rPr>
        <w:t xml:space="preserve">(0.88) </w:t>
      </w:r>
      <w:r w:rsidRPr="00913076">
        <w:rPr>
          <w:rStyle w:val="Bodytext1"/>
          <w:rFonts w:asciiTheme="minorHAnsi" w:hAnsiTheme="minorHAnsi" w:cstheme="minorHAnsi"/>
          <w:sz w:val="24"/>
          <w:szCs w:val="24"/>
        </w:rPr>
        <w:t>of children aged 0-4 years to those aged 5-9 years (to obtain sample sufficient for estimating coverage in both age groups if obtained through random sampling).</w:t>
      </w:r>
    </w:p>
    <w:p w14:paraId="72D55E41" w14:textId="40937E8E" w:rsidR="00312368" w:rsidRPr="00913076" w:rsidRDefault="00B123A5" w:rsidP="00330C7E">
      <w:pPr>
        <w:pStyle w:val="Bodytext10"/>
        <w:pBdr>
          <w:top w:val="single" w:sz="4" w:space="0" w:color="auto"/>
          <w:left w:val="single" w:sz="4" w:space="0" w:color="auto"/>
          <w:bottom w:val="single" w:sz="4" w:space="0" w:color="auto"/>
          <w:right w:val="single" w:sz="4" w:space="0" w:color="auto"/>
        </w:pBdr>
        <w:spacing w:after="500"/>
        <w:jc w:val="both"/>
        <w:rPr>
          <w:rFonts w:asciiTheme="minorHAnsi" w:hAnsiTheme="minorHAnsi" w:cstheme="minorHAnsi"/>
          <w:sz w:val="24"/>
          <w:szCs w:val="24"/>
        </w:rPr>
      </w:pPr>
      <w:r w:rsidRPr="00913076">
        <w:rPr>
          <w:rStyle w:val="Bodytext1"/>
          <w:rFonts w:asciiTheme="minorHAnsi" w:hAnsiTheme="minorHAnsi" w:cstheme="minorHAnsi"/>
          <w:sz w:val="24"/>
          <w:szCs w:val="24"/>
        </w:rPr>
        <w:t>n3 = 1848</w:t>
      </w:r>
    </w:p>
    <w:p w14:paraId="7E8DE2FD" w14:textId="77777777" w:rsidR="00312368" w:rsidRPr="00913076" w:rsidRDefault="005243FD" w:rsidP="00330C7E">
      <w:pPr>
        <w:pStyle w:val="Bodytext10"/>
        <w:pBdr>
          <w:top w:val="single" w:sz="4" w:space="0" w:color="auto"/>
          <w:left w:val="single" w:sz="4" w:space="0" w:color="auto"/>
          <w:bottom w:val="single" w:sz="4" w:space="0" w:color="auto"/>
          <w:right w:val="single" w:sz="4" w:space="0" w:color="auto"/>
        </w:pBdr>
        <w:spacing w:after="100"/>
        <w:jc w:val="both"/>
        <w:rPr>
          <w:rFonts w:asciiTheme="minorHAnsi" w:hAnsiTheme="minorHAnsi" w:cstheme="minorHAnsi"/>
          <w:sz w:val="24"/>
          <w:szCs w:val="24"/>
        </w:rPr>
      </w:pPr>
      <w:r w:rsidRPr="00913076">
        <w:rPr>
          <w:rStyle w:val="Bodytext1"/>
          <w:rFonts w:asciiTheme="minorHAnsi" w:hAnsiTheme="minorHAnsi" w:cstheme="minorHAnsi"/>
          <w:b/>
          <w:bCs/>
          <w:sz w:val="24"/>
          <w:szCs w:val="24"/>
        </w:rPr>
        <w:t>Recommendation on sample size:</w:t>
      </w:r>
    </w:p>
    <w:p w14:paraId="2449FC06" w14:textId="3ED6FE74" w:rsidR="00312368" w:rsidRPr="00913076" w:rsidRDefault="005243FD" w:rsidP="00330C7E">
      <w:pPr>
        <w:pStyle w:val="Bodytext10"/>
        <w:pBdr>
          <w:top w:val="single" w:sz="4" w:space="0" w:color="auto"/>
          <w:left w:val="single" w:sz="4" w:space="0" w:color="auto"/>
          <w:bottom w:val="single" w:sz="4" w:space="0" w:color="auto"/>
          <w:right w:val="single" w:sz="4" w:space="0" w:color="auto"/>
        </w:pBdr>
        <w:spacing w:after="100"/>
        <w:jc w:val="both"/>
        <w:rPr>
          <w:rFonts w:asciiTheme="minorHAnsi" w:hAnsiTheme="minorHAnsi" w:cstheme="minorHAnsi"/>
          <w:sz w:val="24"/>
          <w:szCs w:val="24"/>
        </w:rPr>
      </w:pPr>
      <w:r w:rsidRPr="00913076">
        <w:rPr>
          <w:rStyle w:val="Bodytext1"/>
          <w:rFonts w:asciiTheme="minorHAnsi" w:hAnsiTheme="minorHAnsi" w:cstheme="minorHAnsi"/>
          <w:sz w:val="24"/>
          <w:szCs w:val="24"/>
        </w:rPr>
        <w:t xml:space="preserve">These sample size calculations suggest that a sample of 120 clusters, each comprising 15 </w:t>
      </w:r>
      <w:r w:rsidR="004A78F8" w:rsidRPr="00913076">
        <w:rPr>
          <w:rStyle w:val="Bodytext1"/>
          <w:rFonts w:asciiTheme="minorHAnsi" w:hAnsiTheme="minorHAnsi" w:cstheme="minorHAnsi"/>
          <w:sz w:val="24"/>
          <w:szCs w:val="24"/>
        </w:rPr>
        <w:t>households</w:t>
      </w:r>
      <w:r w:rsidRPr="00913076">
        <w:rPr>
          <w:rStyle w:val="Bodytext1"/>
          <w:rFonts w:asciiTheme="minorHAnsi" w:hAnsiTheme="minorHAnsi" w:cstheme="minorHAnsi"/>
          <w:sz w:val="24"/>
          <w:szCs w:val="24"/>
        </w:rPr>
        <w:t xml:space="preserve"> (n=l,800), with </w:t>
      </w:r>
      <w:r w:rsidR="004A78F8" w:rsidRPr="00913076">
        <w:rPr>
          <w:rStyle w:val="Bodytext1"/>
          <w:rFonts w:asciiTheme="minorHAnsi" w:hAnsiTheme="minorHAnsi" w:cstheme="minorHAnsi"/>
          <w:sz w:val="24"/>
          <w:szCs w:val="24"/>
        </w:rPr>
        <w:t xml:space="preserve">approximately </w:t>
      </w:r>
      <w:r w:rsidRPr="00913076">
        <w:rPr>
          <w:rStyle w:val="Bodytext1"/>
          <w:rFonts w:asciiTheme="minorHAnsi" w:hAnsiTheme="minorHAnsi" w:cstheme="minorHAnsi"/>
          <w:sz w:val="24"/>
          <w:szCs w:val="24"/>
        </w:rPr>
        <w:t>60</w:t>
      </w:r>
      <w:r w:rsidR="004A78F8" w:rsidRPr="00913076">
        <w:rPr>
          <w:rStyle w:val="Bodytext1"/>
          <w:rFonts w:asciiTheme="minorHAnsi" w:hAnsiTheme="minorHAnsi" w:cstheme="minorHAnsi"/>
          <w:sz w:val="24"/>
          <w:szCs w:val="24"/>
        </w:rPr>
        <w:t xml:space="preserve"> households sampled</w:t>
      </w:r>
      <w:r w:rsidRPr="00913076">
        <w:rPr>
          <w:rStyle w:val="Bodytext1"/>
          <w:rFonts w:asciiTheme="minorHAnsi" w:hAnsiTheme="minorHAnsi" w:cstheme="minorHAnsi"/>
          <w:sz w:val="24"/>
          <w:szCs w:val="24"/>
        </w:rPr>
        <w:t xml:space="preserve"> in each of the </w:t>
      </w:r>
      <w:r w:rsidR="008334C6" w:rsidRPr="00913076">
        <w:rPr>
          <w:rStyle w:val="Bodytext1"/>
          <w:rFonts w:asciiTheme="minorHAnsi" w:hAnsiTheme="minorHAnsi" w:cstheme="minorHAnsi"/>
          <w:sz w:val="24"/>
          <w:szCs w:val="24"/>
        </w:rPr>
        <w:t xml:space="preserve">23 </w:t>
      </w:r>
      <w:r w:rsidRPr="00913076">
        <w:rPr>
          <w:rStyle w:val="Bodytext1"/>
          <w:rFonts w:asciiTheme="minorHAnsi" w:hAnsiTheme="minorHAnsi" w:cstheme="minorHAnsi"/>
          <w:sz w:val="24"/>
          <w:szCs w:val="24"/>
        </w:rPr>
        <w:t>districts.</w:t>
      </w:r>
    </w:p>
    <w:p w14:paraId="45562C40" w14:textId="77777777" w:rsidR="00312368" w:rsidRPr="00913076" w:rsidRDefault="005243FD" w:rsidP="00330C7E">
      <w:pPr>
        <w:pStyle w:val="Bodytext10"/>
        <w:pBdr>
          <w:top w:val="single" w:sz="4" w:space="0" w:color="auto"/>
          <w:left w:val="single" w:sz="4" w:space="0" w:color="auto"/>
          <w:bottom w:val="single" w:sz="4" w:space="0" w:color="auto"/>
          <w:right w:val="single" w:sz="4" w:space="0" w:color="auto"/>
        </w:pBdr>
        <w:jc w:val="both"/>
        <w:rPr>
          <w:rFonts w:asciiTheme="minorHAnsi" w:hAnsiTheme="minorHAnsi" w:cstheme="minorHAnsi"/>
          <w:sz w:val="24"/>
          <w:szCs w:val="24"/>
        </w:rPr>
      </w:pPr>
      <w:r w:rsidRPr="00913076">
        <w:rPr>
          <w:rStyle w:val="Bodytext1"/>
          <w:rFonts w:asciiTheme="minorHAnsi" w:hAnsiTheme="minorHAnsi" w:cstheme="minorHAnsi"/>
          <w:sz w:val="24"/>
          <w:szCs w:val="24"/>
        </w:rPr>
        <w:t xml:space="preserve">This sample will provide estimates of coverage for children aged 3-59 </w:t>
      </w:r>
      <w:proofErr w:type="gramStart"/>
      <w:r w:rsidRPr="00913076">
        <w:rPr>
          <w:rStyle w:val="Bodytext1"/>
          <w:rFonts w:asciiTheme="minorHAnsi" w:hAnsiTheme="minorHAnsi" w:cstheme="minorHAnsi"/>
          <w:sz w:val="24"/>
          <w:szCs w:val="24"/>
        </w:rPr>
        <w:t>months</w:t>
      </w:r>
      <w:proofErr w:type="gramEnd"/>
    </w:p>
    <w:p w14:paraId="15EC6453" w14:textId="77777777" w:rsidR="00312368" w:rsidRPr="00913076" w:rsidRDefault="005243FD" w:rsidP="00330C7E">
      <w:pPr>
        <w:pStyle w:val="Bodytext10"/>
        <w:pBdr>
          <w:top w:val="single" w:sz="4" w:space="0" w:color="auto"/>
          <w:left w:val="single" w:sz="4" w:space="0" w:color="auto"/>
          <w:bottom w:val="single" w:sz="4" w:space="0" w:color="auto"/>
          <w:right w:val="single" w:sz="4" w:space="0" w:color="auto"/>
        </w:pBdr>
        <w:spacing w:after="980"/>
        <w:jc w:val="both"/>
        <w:rPr>
          <w:rFonts w:asciiTheme="minorHAnsi" w:hAnsiTheme="minorHAnsi" w:cstheme="minorHAnsi"/>
          <w:sz w:val="24"/>
          <w:szCs w:val="24"/>
        </w:rPr>
      </w:pPr>
      <w:r w:rsidRPr="00913076">
        <w:rPr>
          <w:rStyle w:val="Bodytext1"/>
          <w:rFonts w:asciiTheme="minorHAnsi" w:hAnsiTheme="minorHAnsi" w:cstheme="minorHAnsi"/>
          <w:sz w:val="24"/>
          <w:szCs w:val="24"/>
        </w:rPr>
        <w:t>60-119 months and 3-119 months with margins of error of 5.0%, 5.4% and 3.5% respectively.</w:t>
      </w:r>
    </w:p>
    <w:p w14:paraId="28D18C29" w14:textId="77777777" w:rsidR="00312368" w:rsidRPr="00913076" w:rsidRDefault="005243FD" w:rsidP="00330C7E">
      <w:pPr>
        <w:pStyle w:val="Bodytext10"/>
        <w:spacing w:after="100" w:line="336" w:lineRule="auto"/>
        <w:jc w:val="both"/>
        <w:rPr>
          <w:rFonts w:asciiTheme="minorHAnsi" w:hAnsiTheme="minorHAnsi" w:cstheme="minorHAnsi"/>
          <w:color w:val="00B050"/>
          <w:sz w:val="24"/>
          <w:szCs w:val="24"/>
        </w:rPr>
      </w:pPr>
      <w:r w:rsidRPr="00913076">
        <w:rPr>
          <w:rStyle w:val="Bodytext1"/>
          <w:rFonts w:asciiTheme="minorHAnsi" w:hAnsiTheme="minorHAnsi" w:cstheme="minorHAnsi"/>
          <w:b/>
          <w:bCs/>
          <w:color w:val="00B050"/>
          <w:sz w:val="24"/>
          <w:szCs w:val="24"/>
        </w:rPr>
        <w:t>Sampling procedure</w:t>
      </w:r>
    </w:p>
    <w:p w14:paraId="09FAC9BA" w14:textId="77777777" w:rsidR="00312368" w:rsidRPr="00913076" w:rsidRDefault="005243FD" w:rsidP="00330C7E">
      <w:pPr>
        <w:pStyle w:val="Bodytext10"/>
        <w:spacing w:after="100" w:line="336" w:lineRule="auto"/>
        <w:jc w:val="both"/>
        <w:rPr>
          <w:rFonts w:asciiTheme="minorHAnsi" w:hAnsiTheme="minorHAnsi" w:cstheme="minorHAnsi"/>
          <w:sz w:val="24"/>
          <w:szCs w:val="24"/>
        </w:rPr>
      </w:pPr>
      <w:r w:rsidRPr="00913076">
        <w:rPr>
          <w:rStyle w:val="Bodytext1"/>
          <w:rFonts w:asciiTheme="minorHAnsi" w:hAnsiTheme="minorHAnsi" w:cstheme="minorHAnsi"/>
          <w:sz w:val="24"/>
          <w:szCs w:val="24"/>
        </w:rPr>
        <w:t>The sampling methodology will achieve, as far as possible, a self-weighted sample with sampling units selected with probability proportional to size, and only at the last stage of sampling (i.e. at the compound level) select a constant number of eligible children (one child per household).</w:t>
      </w:r>
    </w:p>
    <w:p w14:paraId="7519AD53" w14:textId="382B0E67" w:rsidR="00312368" w:rsidRPr="00913076" w:rsidRDefault="005243FD" w:rsidP="00330C7E">
      <w:pPr>
        <w:pStyle w:val="Bodytext10"/>
        <w:spacing w:after="100" w:line="336" w:lineRule="auto"/>
        <w:jc w:val="both"/>
        <w:rPr>
          <w:rFonts w:asciiTheme="minorHAnsi" w:hAnsiTheme="minorHAnsi" w:cstheme="minorHAnsi"/>
          <w:sz w:val="24"/>
          <w:szCs w:val="24"/>
        </w:rPr>
      </w:pPr>
      <w:r w:rsidRPr="00913076">
        <w:rPr>
          <w:rStyle w:val="Bodytext1"/>
          <w:rFonts w:asciiTheme="minorHAnsi" w:hAnsiTheme="minorHAnsi" w:cstheme="minorHAnsi"/>
          <w:sz w:val="24"/>
          <w:szCs w:val="24"/>
        </w:rPr>
        <w:t>This will be accomplished using existing data on population estimates (</w:t>
      </w:r>
      <w:r w:rsidR="00330C7E" w:rsidRPr="00913076">
        <w:rPr>
          <w:rStyle w:val="Bodytext1"/>
          <w:rFonts w:asciiTheme="minorHAnsi" w:hAnsiTheme="minorHAnsi" w:cstheme="minorHAnsi"/>
          <w:sz w:val="24"/>
          <w:szCs w:val="24"/>
        </w:rPr>
        <w:t>e.g.,</w:t>
      </w:r>
      <w:r w:rsidRPr="00913076">
        <w:rPr>
          <w:rStyle w:val="Bodytext1"/>
          <w:rFonts w:asciiTheme="minorHAnsi" w:hAnsiTheme="minorHAnsi" w:cstheme="minorHAnsi"/>
          <w:sz w:val="24"/>
          <w:szCs w:val="24"/>
        </w:rPr>
        <w:t xml:space="preserve"> using </w:t>
      </w:r>
      <w:r w:rsidR="008334C6" w:rsidRPr="00913076">
        <w:rPr>
          <w:rStyle w:val="Bodytext1"/>
          <w:rFonts w:asciiTheme="minorHAnsi" w:hAnsiTheme="minorHAnsi" w:cstheme="minorHAnsi"/>
          <w:sz w:val="24"/>
          <w:szCs w:val="24"/>
        </w:rPr>
        <w:t>Target population calculated reach in each SMC cycle</w:t>
      </w:r>
      <w:r w:rsidRPr="00913076">
        <w:rPr>
          <w:rStyle w:val="Bodytext1"/>
          <w:rFonts w:asciiTheme="minorHAnsi" w:hAnsiTheme="minorHAnsi" w:cstheme="minorHAnsi"/>
          <w:sz w:val="24"/>
          <w:szCs w:val="24"/>
        </w:rPr>
        <w:t>) to construct a sampling frame accounting for the size of each health facility catchment area (or divisions of health facility catchment areas) and select with a probability proportional to their size (</w:t>
      </w:r>
      <w:r w:rsidR="002521B4" w:rsidRPr="00913076">
        <w:rPr>
          <w:rStyle w:val="Bodytext1"/>
          <w:rFonts w:asciiTheme="minorHAnsi" w:hAnsiTheme="minorHAnsi" w:cstheme="minorHAnsi"/>
          <w:sz w:val="24"/>
          <w:szCs w:val="24"/>
        </w:rPr>
        <w:t>PPS</w:t>
      </w:r>
      <w:r w:rsidRPr="00913076">
        <w:rPr>
          <w:rStyle w:val="Bodytext1"/>
          <w:rFonts w:asciiTheme="minorHAnsi" w:hAnsiTheme="minorHAnsi" w:cstheme="minorHAnsi"/>
          <w:sz w:val="24"/>
          <w:szCs w:val="24"/>
        </w:rPr>
        <w:t>).</w:t>
      </w:r>
    </w:p>
    <w:p w14:paraId="751B314D" w14:textId="24C98BDA" w:rsidR="00312368" w:rsidRPr="00913076" w:rsidRDefault="002521B4" w:rsidP="00330C7E">
      <w:pPr>
        <w:pStyle w:val="Bodytext10"/>
        <w:spacing w:after="100" w:line="338" w:lineRule="auto"/>
        <w:jc w:val="both"/>
        <w:rPr>
          <w:rFonts w:asciiTheme="minorHAnsi" w:hAnsiTheme="minorHAnsi" w:cstheme="minorHAnsi"/>
          <w:sz w:val="24"/>
          <w:szCs w:val="24"/>
        </w:rPr>
      </w:pPr>
      <w:r w:rsidRPr="00913076">
        <w:rPr>
          <w:rStyle w:val="Bodytext1"/>
          <w:rFonts w:asciiTheme="minorHAnsi" w:hAnsiTheme="minorHAnsi" w:cstheme="minorHAnsi"/>
          <w:sz w:val="24"/>
          <w:szCs w:val="24"/>
        </w:rPr>
        <w:t>Based on the estimated sample size,160 clusters based on health facility catchment areas, or divisions of health facility catchment areas if needed to reach the needed number of clusters, will be randomly selected from the sampling frame of existing clusters in all 23 districts using PPS.</w:t>
      </w:r>
    </w:p>
    <w:p w14:paraId="29094D3D" w14:textId="3B19540D" w:rsidR="00312368" w:rsidRPr="00913076" w:rsidRDefault="002521B4" w:rsidP="00330C7E">
      <w:pPr>
        <w:pStyle w:val="Bodytext10"/>
        <w:spacing w:after="100" w:line="336" w:lineRule="auto"/>
        <w:jc w:val="both"/>
        <w:rPr>
          <w:rFonts w:asciiTheme="minorHAnsi" w:hAnsiTheme="minorHAnsi" w:cstheme="minorHAnsi"/>
          <w:sz w:val="24"/>
          <w:szCs w:val="24"/>
        </w:rPr>
      </w:pPr>
      <w:r w:rsidRPr="00913076">
        <w:rPr>
          <w:rStyle w:val="Bodytext1"/>
          <w:rFonts w:asciiTheme="minorHAnsi" w:hAnsiTheme="minorHAnsi" w:cstheme="minorHAnsi"/>
          <w:sz w:val="24"/>
          <w:szCs w:val="24"/>
        </w:rPr>
        <w:t xml:space="preserve">Within each selected cluster, a constant number of households (15) will be randomly sampled. One eligible child will be sampled from each compound using a household-level sampling frame of children aged </w:t>
      </w:r>
      <w:r w:rsidR="00143D10" w:rsidRPr="00913076">
        <w:rPr>
          <w:rStyle w:val="Bodytext1"/>
          <w:rFonts w:asciiTheme="minorHAnsi" w:hAnsiTheme="minorHAnsi" w:cstheme="minorHAnsi"/>
          <w:sz w:val="24"/>
          <w:szCs w:val="24"/>
        </w:rPr>
        <w:t>3</w:t>
      </w:r>
      <w:r w:rsidRPr="00913076">
        <w:rPr>
          <w:rStyle w:val="Bodytext1"/>
          <w:rFonts w:asciiTheme="minorHAnsi" w:hAnsiTheme="minorHAnsi" w:cstheme="minorHAnsi"/>
          <w:sz w:val="24"/>
          <w:szCs w:val="24"/>
        </w:rPr>
        <w:t>-119 months.</w:t>
      </w:r>
    </w:p>
    <w:p w14:paraId="7BF56C07" w14:textId="77777777" w:rsidR="008334C6" w:rsidRPr="00913076" w:rsidRDefault="008334C6" w:rsidP="00330C7E">
      <w:pPr>
        <w:pStyle w:val="Bodytext10"/>
        <w:spacing w:after="100" w:line="336" w:lineRule="auto"/>
        <w:jc w:val="both"/>
        <w:rPr>
          <w:rStyle w:val="Bodytext1"/>
          <w:rFonts w:asciiTheme="minorHAnsi" w:hAnsiTheme="minorHAnsi" w:cstheme="minorHAnsi"/>
          <w:b/>
          <w:bCs/>
          <w:sz w:val="24"/>
          <w:szCs w:val="24"/>
        </w:rPr>
      </w:pPr>
    </w:p>
    <w:p w14:paraId="64E4E4F1" w14:textId="41AF44F6" w:rsidR="00312368" w:rsidRPr="00913076" w:rsidRDefault="005243FD" w:rsidP="00330C7E">
      <w:pPr>
        <w:pStyle w:val="Bodytext10"/>
        <w:spacing w:after="100" w:line="336" w:lineRule="auto"/>
        <w:jc w:val="both"/>
        <w:rPr>
          <w:rFonts w:asciiTheme="minorHAnsi" w:hAnsiTheme="minorHAnsi" w:cstheme="minorHAnsi"/>
          <w:color w:val="00B050"/>
          <w:sz w:val="24"/>
          <w:szCs w:val="24"/>
        </w:rPr>
      </w:pPr>
      <w:r w:rsidRPr="00913076">
        <w:rPr>
          <w:rStyle w:val="Bodytext1"/>
          <w:rFonts w:asciiTheme="minorHAnsi" w:hAnsiTheme="minorHAnsi" w:cstheme="minorHAnsi"/>
          <w:b/>
          <w:bCs/>
          <w:color w:val="00B050"/>
          <w:sz w:val="24"/>
          <w:szCs w:val="24"/>
        </w:rPr>
        <w:t>Data collection methods and procedures</w:t>
      </w:r>
    </w:p>
    <w:p w14:paraId="3C2FCBD7" w14:textId="77777777" w:rsidR="00312368" w:rsidRPr="00913076" w:rsidRDefault="005243FD" w:rsidP="00330C7E">
      <w:pPr>
        <w:pStyle w:val="Bodytext10"/>
        <w:spacing w:after="100" w:line="336" w:lineRule="auto"/>
        <w:jc w:val="both"/>
        <w:rPr>
          <w:rFonts w:asciiTheme="minorHAnsi" w:hAnsiTheme="minorHAnsi" w:cstheme="minorHAnsi"/>
          <w:color w:val="00B050"/>
          <w:sz w:val="24"/>
          <w:szCs w:val="24"/>
        </w:rPr>
      </w:pPr>
      <w:r w:rsidRPr="00913076">
        <w:rPr>
          <w:rStyle w:val="Bodytext1"/>
          <w:rFonts w:asciiTheme="minorHAnsi" w:hAnsiTheme="minorHAnsi" w:cstheme="minorHAnsi"/>
          <w:b/>
          <w:bCs/>
          <w:color w:val="00B050"/>
          <w:sz w:val="24"/>
          <w:szCs w:val="24"/>
        </w:rPr>
        <w:t>Study tools</w:t>
      </w:r>
    </w:p>
    <w:p w14:paraId="10ABCC3A" w14:textId="7362F38F" w:rsidR="00312368" w:rsidRPr="00913076" w:rsidRDefault="005243FD" w:rsidP="00330C7E">
      <w:pPr>
        <w:pStyle w:val="Bodytext10"/>
        <w:spacing w:after="500" w:line="336" w:lineRule="auto"/>
        <w:jc w:val="both"/>
        <w:rPr>
          <w:rFonts w:asciiTheme="minorHAnsi" w:hAnsiTheme="minorHAnsi" w:cstheme="minorHAnsi"/>
          <w:sz w:val="24"/>
          <w:szCs w:val="24"/>
        </w:rPr>
      </w:pPr>
      <w:r w:rsidRPr="00913076">
        <w:rPr>
          <w:rStyle w:val="Bodytext1"/>
          <w:rFonts w:asciiTheme="minorHAnsi" w:hAnsiTheme="minorHAnsi" w:cstheme="minorHAnsi"/>
          <w:sz w:val="24"/>
          <w:szCs w:val="24"/>
        </w:rPr>
        <w:t xml:space="preserve">The data will be collected using a survey questionnaire developed by Malaria Consortium (see </w:t>
      </w:r>
      <w:r w:rsidRPr="00913076">
        <w:rPr>
          <w:rStyle w:val="Bodytext1"/>
          <w:rFonts w:asciiTheme="minorHAnsi" w:hAnsiTheme="minorHAnsi" w:cstheme="minorHAnsi"/>
          <w:b/>
          <w:bCs/>
          <w:sz w:val="24"/>
          <w:szCs w:val="24"/>
        </w:rPr>
        <w:t xml:space="preserve">Appendix 4). </w:t>
      </w:r>
      <w:r w:rsidRPr="00913076">
        <w:rPr>
          <w:rStyle w:val="Bodytext1"/>
          <w:rFonts w:asciiTheme="minorHAnsi" w:hAnsiTheme="minorHAnsi" w:cstheme="minorHAnsi"/>
          <w:sz w:val="24"/>
          <w:szCs w:val="24"/>
        </w:rPr>
        <w:t xml:space="preserve">The survey questionnaire will be uploaded into the </w:t>
      </w:r>
      <w:proofErr w:type="spellStart"/>
      <w:r w:rsidRPr="00913076">
        <w:rPr>
          <w:rStyle w:val="Bodytext1"/>
          <w:rFonts w:asciiTheme="minorHAnsi" w:hAnsiTheme="minorHAnsi" w:cstheme="minorHAnsi"/>
          <w:sz w:val="24"/>
          <w:szCs w:val="24"/>
        </w:rPr>
        <w:t>SurveyTCO</w:t>
      </w:r>
      <w:proofErr w:type="spellEnd"/>
      <w:r w:rsidRPr="00913076">
        <w:rPr>
          <w:rStyle w:val="Bodytext1"/>
          <w:rFonts w:asciiTheme="minorHAnsi" w:hAnsiTheme="minorHAnsi" w:cstheme="minorHAnsi"/>
          <w:sz w:val="24"/>
          <w:szCs w:val="24"/>
        </w:rPr>
        <w:t xml:space="preserve"> software application that will enable direct, field-based Computer Aided Personal Interview (CAPI) and remote capture of the data and </w:t>
      </w:r>
      <w:r w:rsidR="0008712C" w:rsidRPr="00913076">
        <w:rPr>
          <w:rStyle w:val="Bodytext1"/>
          <w:rFonts w:asciiTheme="minorHAnsi" w:hAnsiTheme="minorHAnsi" w:cstheme="minorHAnsi"/>
          <w:sz w:val="24"/>
          <w:szCs w:val="24"/>
        </w:rPr>
        <w:t>transfer to</w:t>
      </w:r>
      <w:r w:rsidRPr="00913076">
        <w:rPr>
          <w:rStyle w:val="Bodytext1"/>
          <w:rFonts w:asciiTheme="minorHAnsi" w:hAnsiTheme="minorHAnsi" w:cstheme="minorHAnsi"/>
          <w:sz w:val="24"/>
          <w:szCs w:val="24"/>
        </w:rPr>
        <w:t xml:space="preserve"> a netbook computer.</w:t>
      </w:r>
    </w:p>
    <w:p w14:paraId="29C68DBC" w14:textId="555F6B4E" w:rsidR="00312368" w:rsidRPr="00913076" w:rsidRDefault="005243FD" w:rsidP="00330C7E">
      <w:pPr>
        <w:pStyle w:val="Bodytext10"/>
        <w:spacing w:after="500" w:line="317" w:lineRule="auto"/>
        <w:jc w:val="both"/>
        <w:rPr>
          <w:rFonts w:asciiTheme="minorHAnsi" w:hAnsiTheme="minorHAnsi" w:cstheme="minorHAnsi"/>
          <w:sz w:val="24"/>
          <w:szCs w:val="24"/>
        </w:rPr>
      </w:pPr>
      <w:r w:rsidRPr="00913076">
        <w:rPr>
          <w:rStyle w:val="Bodytext1"/>
          <w:rFonts w:asciiTheme="minorHAnsi" w:hAnsiTheme="minorHAnsi" w:cstheme="minorHAnsi"/>
          <w:sz w:val="24"/>
          <w:szCs w:val="24"/>
        </w:rPr>
        <w:t xml:space="preserve">Whilst the coverage surveys will be the main method to determine coverage, two additional data sources will be </w:t>
      </w:r>
      <w:r w:rsidR="0008712C" w:rsidRPr="00913076">
        <w:rPr>
          <w:rStyle w:val="Bodytext1"/>
          <w:rFonts w:asciiTheme="minorHAnsi" w:hAnsiTheme="minorHAnsi" w:cstheme="minorHAnsi"/>
          <w:sz w:val="24"/>
          <w:szCs w:val="24"/>
        </w:rPr>
        <w:t>analyzed</w:t>
      </w:r>
      <w:r w:rsidRPr="00913076">
        <w:rPr>
          <w:rStyle w:val="Bodytext1"/>
          <w:rFonts w:asciiTheme="minorHAnsi" w:hAnsiTheme="minorHAnsi" w:cstheme="minorHAnsi"/>
          <w:sz w:val="24"/>
          <w:szCs w:val="24"/>
        </w:rPr>
        <w:t xml:space="preserve"> and compared with survey results:</w:t>
      </w:r>
    </w:p>
    <w:p w14:paraId="413835C5" w14:textId="7A45A735" w:rsidR="00312368" w:rsidRPr="00913076" w:rsidRDefault="005243FD" w:rsidP="00330C7E">
      <w:pPr>
        <w:pStyle w:val="Bodytext10"/>
        <w:numPr>
          <w:ilvl w:val="0"/>
          <w:numId w:val="23"/>
        </w:numPr>
        <w:tabs>
          <w:tab w:val="left" w:pos="671"/>
        </w:tabs>
        <w:spacing w:after="100" w:line="317" w:lineRule="auto"/>
        <w:ind w:left="680" w:hanging="340"/>
        <w:jc w:val="both"/>
        <w:rPr>
          <w:rFonts w:asciiTheme="minorHAnsi" w:hAnsiTheme="minorHAnsi" w:cstheme="minorHAnsi"/>
          <w:sz w:val="24"/>
          <w:szCs w:val="24"/>
        </w:rPr>
      </w:pPr>
      <w:r w:rsidRPr="00913076">
        <w:rPr>
          <w:rStyle w:val="Bodytext1"/>
          <w:rFonts w:asciiTheme="minorHAnsi" w:hAnsiTheme="minorHAnsi" w:cstheme="minorHAnsi"/>
          <w:sz w:val="24"/>
          <w:szCs w:val="24"/>
        </w:rPr>
        <w:t xml:space="preserve">Administrative data: based on SMC Tally Sheets completed by distributors and data compiled via </w:t>
      </w:r>
      <w:r w:rsidR="0008712C" w:rsidRPr="00913076">
        <w:rPr>
          <w:rStyle w:val="Bodytext1"/>
          <w:rFonts w:asciiTheme="minorHAnsi" w:hAnsiTheme="minorHAnsi" w:cstheme="minorHAnsi"/>
          <w:sz w:val="24"/>
          <w:szCs w:val="24"/>
        </w:rPr>
        <w:t xml:space="preserve">daily </w:t>
      </w:r>
      <w:r w:rsidRPr="00913076">
        <w:rPr>
          <w:rStyle w:val="Bodytext1"/>
          <w:rFonts w:asciiTheme="minorHAnsi" w:hAnsiTheme="minorHAnsi" w:cstheme="minorHAnsi"/>
          <w:sz w:val="24"/>
          <w:szCs w:val="24"/>
        </w:rPr>
        <w:t xml:space="preserve">summary forms and end-of-cycle </w:t>
      </w:r>
      <w:proofErr w:type="gramStart"/>
      <w:r w:rsidRPr="00913076">
        <w:rPr>
          <w:rStyle w:val="Bodytext1"/>
          <w:rFonts w:asciiTheme="minorHAnsi" w:hAnsiTheme="minorHAnsi" w:cstheme="minorHAnsi"/>
          <w:sz w:val="24"/>
          <w:szCs w:val="24"/>
        </w:rPr>
        <w:t>reports</w:t>
      </w:r>
      <w:proofErr w:type="gramEnd"/>
    </w:p>
    <w:p w14:paraId="2473A38E" w14:textId="77777777" w:rsidR="00312368" w:rsidRPr="00913076" w:rsidRDefault="005243FD" w:rsidP="00330C7E">
      <w:pPr>
        <w:pStyle w:val="Bodytext10"/>
        <w:spacing w:after="100" w:line="336" w:lineRule="auto"/>
        <w:ind w:firstLine="680"/>
        <w:jc w:val="both"/>
        <w:rPr>
          <w:rFonts w:asciiTheme="minorHAnsi" w:hAnsiTheme="minorHAnsi" w:cstheme="minorHAnsi"/>
          <w:sz w:val="24"/>
          <w:szCs w:val="24"/>
        </w:rPr>
      </w:pPr>
      <w:r w:rsidRPr="00913076">
        <w:rPr>
          <w:rStyle w:val="Bodytext1"/>
          <w:rFonts w:asciiTheme="minorHAnsi" w:hAnsiTheme="minorHAnsi" w:cstheme="minorHAnsi"/>
          <w:sz w:val="24"/>
          <w:szCs w:val="24"/>
        </w:rPr>
        <w:t>(coverage = doses delivered/target population)</w:t>
      </w:r>
    </w:p>
    <w:p w14:paraId="03564207" w14:textId="77777777" w:rsidR="00312368" w:rsidRPr="00913076" w:rsidRDefault="005243FD" w:rsidP="00330C7E">
      <w:pPr>
        <w:pStyle w:val="Bodytext10"/>
        <w:numPr>
          <w:ilvl w:val="0"/>
          <w:numId w:val="23"/>
        </w:numPr>
        <w:tabs>
          <w:tab w:val="left" w:pos="671"/>
        </w:tabs>
        <w:spacing w:after="100" w:line="336" w:lineRule="auto"/>
        <w:ind w:firstLine="340"/>
        <w:jc w:val="both"/>
        <w:rPr>
          <w:rFonts w:asciiTheme="minorHAnsi" w:hAnsiTheme="minorHAnsi" w:cstheme="minorHAnsi"/>
          <w:sz w:val="24"/>
          <w:szCs w:val="24"/>
        </w:rPr>
      </w:pPr>
      <w:r w:rsidRPr="00913076">
        <w:rPr>
          <w:rStyle w:val="Bodytext1"/>
          <w:rFonts w:asciiTheme="minorHAnsi" w:hAnsiTheme="minorHAnsi" w:cstheme="minorHAnsi"/>
          <w:sz w:val="24"/>
          <w:szCs w:val="24"/>
        </w:rPr>
        <w:t>Stock-consumption data</w:t>
      </w:r>
    </w:p>
    <w:p w14:paraId="1F2FA5F1" w14:textId="77777777" w:rsidR="00312368" w:rsidRPr="00913076" w:rsidRDefault="005243FD" w:rsidP="00330C7E">
      <w:pPr>
        <w:pStyle w:val="Bodytext10"/>
        <w:spacing w:after="500" w:line="336" w:lineRule="auto"/>
        <w:ind w:firstLine="680"/>
        <w:jc w:val="both"/>
        <w:rPr>
          <w:rFonts w:asciiTheme="minorHAnsi" w:hAnsiTheme="minorHAnsi" w:cstheme="minorHAnsi"/>
          <w:sz w:val="24"/>
          <w:szCs w:val="24"/>
        </w:rPr>
      </w:pPr>
      <w:r w:rsidRPr="00913076">
        <w:rPr>
          <w:rStyle w:val="Bodytext1"/>
          <w:rFonts w:asciiTheme="minorHAnsi" w:hAnsiTheme="minorHAnsi" w:cstheme="minorHAnsi"/>
          <w:sz w:val="24"/>
          <w:szCs w:val="24"/>
        </w:rPr>
        <w:t>(coverage = SPAQ. blisters received before the campaign - blisters left at the end)</w:t>
      </w:r>
    </w:p>
    <w:p w14:paraId="01FDC627" w14:textId="6DC82A71" w:rsidR="00312368" w:rsidRPr="00913076" w:rsidRDefault="005243FD" w:rsidP="00330C7E">
      <w:pPr>
        <w:pStyle w:val="Bodytext10"/>
        <w:spacing w:after="500" w:line="336" w:lineRule="auto"/>
        <w:jc w:val="both"/>
        <w:rPr>
          <w:rFonts w:asciiTheme="minorHAnsi" w:hAnsiTheme="minorHAnsi" w:cstheme="minorHAnsi"/>
          <w:sz w:val="24"/>
          <w:szCs w:val="24"/>
        </w:rPr>
      </w:pPr>
      <w:r w:rsidRPr="00913076">
        <w:rPr>
          <w:rStyle w:val="Bodytext1"/>
          <w:rFonts w:asciiTheme="minorHAnsi" w:hAnsiTheme="minorHAnsi" w:cstheme="minorHAnsi"/>
          <w:sz w:val="24"/>
          <w:szCs w:val="24"/>
        </w:rPr>
        <w:t xml:space="preserve">Nevertheless, the two </w:t>
      </w:r>
      <w:r w:rsidR="00E17872" w:rsidRPr="00913076">
        <w:rPr>
          <w:rStyle w:val="Bodytext1"/>
          <w:rFonts w:asciiTheme="minorHAnsi" w:hAnsiTheme="minorHAnsi" w:cstheme="minorHAnsi"/>
          <w:sz w:val="24"/>
          <w:szCs w:val="24"/>
        </w:rPr>
        <w:t>data</w:t>
      </w:r>
      <w:r w:rsidRPr="00913076">
        <w:rPr>
          <w:rStyle w:val="Bodytext1"/>
          <w:rFonts w:asciiTheme="minorHAnsi" w:hAnsiTheme="minorHAnsi" w:cstheme="minorHAnsi"/>
          <w:sz w:val="24"/>
          <w:szCs w:val="24"/>
        </w:rPr>
        <w:t xml:space="preserve"> sources are not being solely relied upon as there are associated limitations in terms of accuracy, such as low literacy levels resulting in faulty completion of the forms, inaccurate target population estimations, meaning the denominator can be unreliable and stock management systems not being </w:t>
      </w:r>
      <w:r w:rsidR="0008712C" w:rsidRPr="00913076">
        <w:rPr>
          <w:rStyle w:val="Bodytext1"/>
          <w:rFonts w:asciiTheme="minorHAnsi" w:hAnsiTheme="minorHAnsi" w:cstheme="minorHAnsi"/>
          <w:sz w:val="24"/>
          <w:szCs w:val="24"/>
        </w:rPr>
        <w:t>digitalized</w:t>
      </w:r>
      <w:r w:rsidRPr="00913076">
        <w:rPr>
          <w:rStyle w:val="Bodytext1"/>
          <w:rFonts w:asciiTheme="minorHAnsi" w:hAnsiTheme="minorHAnsi" w:cstheme="minorHAnsi"/>
          <w:sz w:val="24"/>
          <w:szCs w:val="24"/>
        </w:rPr>
        <w:t>, therefore can be prone to error. Moreover, blister packs may need to be excluded for re-do</w:t>
      </w:r>
      <w:r w:rsidR="0008712C" w:rsidRPr="00913076">
        <w:rPr>
          <w:rStyle w:val="Bodytext1"/>
          <w:rFonts w:asciiTheme="minorHAnsi" w:hAnsiTheme="minorHAnsi" w:cstheme="minorHAnsi"/>
          <w:sz w:val="24"/>
          <w:szCs w:val="24"/>
        </w:rPr>
        <w:t>s</w:t>
      </w:r>
      <w:r w:rsidRPr="00913076">
        <w:rPr>
          <w:rStyle w:val="Bodytext1"/>
          <w:rFonts w:asciiTheme="minorHAnsi" w:hAnsiTheme="minorHAnsi" w:cstheme="minorHAnsi"/>
          <w:sz w:val="24"/>
          <w:szCs w:val="24"/>
        </w:rPr>
        <w:t>ing due to a child vomiting a dose, and those that are wasted due to contamination or breakage of the blister.</w:t>
      </w:r>
    </w:p>
    <w:p w14:paraId="7FA77119" w14:textId="77777777" w:rsidR="00312368" w:rsidRPr="00913076" w:rsidRDefault="005243FD" w:rsidP="00330C7E">
      <w:pPr>
        <w:pStyle w:val="Bodytext10"/>
        <w:spacing w:after="100" w:line="336" w:lineRule="auto"/>
        <w:jc w:val="both"/>
        <w:rPr>
          <w:rFonts w:asciiTheme="minorHAnsi" w:hAnsiTheme="minorHAnsi" w:cstheme="minorHAnsi"/>
          <w:color w:val="00B050"/>
          <w:sz w:val="24"/>
          <w:szCs w:val="24"/>
        </w:rPr>
      </w:pPr>
      <w:r w:rsidRPr="00913076">
        <w:rPr>
          <w:rStyle w:val="Bodytext1"/>
          <w:rFonts w:asciiTheme="minorHAnsi" w:hAnsiTheme="minorHAnsi" w:cstheme="minorHAnsi"/>
          <w:b/>
          <w:bCs/>
          <w:color w:val="00B050"/>
          <w:sz w:val="24"/>
          <w:szCs w:val="24"/>
        </w:rPr>
        <w:t>Interviewer recruitment and training</w:t>
      </w:r>
    </w:p>
    <w:p w14:paraId="55AACF5C" w14:textId="547BA0D5" w:rsidR="00312368" w:rsidRPr="00913076" w:rsidRDefault="005243FD" w:rsidP="00330C7E">
      <w:pPr>
        <w:pStyle w:val="Bodytext10"/>
        <w:spacing w:after="920" w:line="336" w:lineRule="auto"/>
        <w:jc w:val="both"/>
        <w:rPr>
          <w:rFonts w:asciiTheme="minorHAnsi" w:hAnsiTheme="minorHAnsi" w:cstheme="minorHAnsi"/>
          <w:sz w:val="24"/>
          <w:szCs w:val="24"/>
        </w:rPr>
      </w:pPr>
      <w:r w:rsidRPr="00913076">
        <w:rPr>
          <w:rStyle w:val="Bodytext1"/>
          <w:rFonts w:asciiTheme="minorHAnsi" w:hAnsiTheme="minorHAnsi" w:cstheme="minorHAnsi"/>
          <w:sz w:val="24"/>
          <w:szCs w:val="24"/>
        </w:rPr>
        <w:t xml:space="preserve">Research assistants with competent skills and expertise who are also conversant in the local language and familiar with the study location will be recruited locally from Nampula province and trained at a central location. The requirements for all data collectors </w:t>
      </w:r>
      <w:proofErr w:type="gramStart"/>
      <w:r w:rsidRPr="00913076">
        <w:rPr>
          <w:rStyle w:val="Bodytext1"/>
          <w:rFonts w:asciiTheme="minorHAnsi" w:hAnsiTheme="minorHAnsi" w:cstheme="minorHAnsi"/>
          <w:sz w:val="24"/>
          <w:szCs w:val="24"/>
        </w:rPr>
        <w:t>is</w:t>
      </w:r>
      <w:proofErr w:type="gramEnd"/>
      <w:r w:rsidRPr="00913076">
        <w:rPr>
          <w:rStyle w:val="Bodytext1"/>
          <w:rFonts w:asciiTheme="minorHAnsi" w:hAnsiTheme="minorHAnsi" w:cstheme="minorHAnsi"/>
          <w:sz w:val="24"/>
          <w:szCs w:val="24"/>
        </w:rPr>
        <w:t xml:space="preserve"> that they have completed at least secondary level education and are fluent in at least one local language. The training sessions will cover the project background, aims and objectives, field manual, and questionnaires through a combination of lectures, role play using typical field scenarios and pilot exercises. The training will also include modules on how to safely conduct research activities </w:t>
      </w:r>
      <w:r w:rsidR="0008712C" w:rsidRPr="00913076">
        <w:rPr>
          <w:rStyle w:val="Bodytext1"/>
          <w:rFonts w:asciiTheme="minorHAnsi" w:hAnsiTheme="minorHAnsi" w:cstheme="minorHAnsi"/>
          <w:sz w:val="24"/>
          <w:szCs w:val="24"/>
        </w:rPr>
        <w:t>considering</w:t>
      </w:r>
      <w:r w:rsidRPr="00913076">
        <w:rPr>
          <w:rStyle w:val="Bodytext1"/>
          <w:rFonts w:asciiTheme="minorHAnsi" w:hAnsiTheme="minorHAnsi" w:cstheme="minorHAnsi"/>
          <w:sz w:val="24"/>
          <w:szCs w:val="24"/>
        </w:rPr>
        <w:t xml:space="preserve"> CO\/ID-19 (see </w:t>
      </w:r>
      <w:r w:rsidRPr="00913076">
        <w:rPr>
          <w:rStyle w:val="Bodytext1"/>
          <w:rFonts w:asciiTheme="minorHAnsi" w:hAnsiTheme="minorHAnsi" w:cstheme="minorHAnsi"/>
          <w:b/>
          <w:bCs/>
          <w:sz w:val="24"/>
          <w:szCs w:val="24"/>
        </w:rPr>
        <w:t>Appendix 2).</w:t>
      </w:r>
    </w:p>
    <w:p w14:paraId="14E1CFF8" w14:textId="77777777" w:rsidR="00312368" w:rsidRPr="00913076" w:rsidRDefault="005243FD" w:rsidP="00330C7E">
      <w:pPr>
        <w:pStyle w:val="Bodytext10"/>
        <w:spacing w:after="100" w:line="341" w:lineRule="auto"/>
        <w:jc w:val="both"/>
        <w:rPr>
          <w:rFonts w:asciiTheme="minorHAnsi" w:hAnsiTheme="minorHAnsi" w:cstheme="minorHAnsi"/>
          <w:color w:val="00B050"/>
          <w:sz w:val="24"/>
          <w:szCs w:val="24"/>
        </w:rPr>
      </w:pPr>
      <w:r w:rsidRPr="00913076">
        <w:rPr>
          <w:rStyle w:val="Bodytext1"/>
          <w:rFonts w:asciiTheme="minorHAnsi" w:hAnsiTheme="minorHAnsi" w:cstheme="minorHAnsi"/>
          <w:b/>
          <w:bCs/>
          <w:color w:val="00B050"/>
          <w:sz w:val="24"/>
          <w:szCs w:val="24"/>
        </w:rPr>
        <w:t>Informed consent</w:t>
      </w:r>
    </w:p>
    <w:p w14:paraId="35F424E0" w14:textId="77777777" w:rsidR="00312368" w:rsidRPr="00913076" w:rsidRDefault="005243FD" w:rsidP="00330C7E">
      <w:pPr>
        <w:pStyle w:val="Bodytext10"/>
        <w:spacing w:after="500" w:line="341" w:lineRule="auto"/>
        <w:jc w:val="both"/>
        <w:rPr>
          <w:rFonts w:asciiTheme="minorHAnsi" w:hAnsiTheme="minorHAnsi" w:cstheme="minorHAnsi"/>
          <w:sz w:val="24"/>
          <w:szCs w:val="24"/>
        </w:rPr>
      </w:pPr>
      <w:r w:rsidRPr="00913076">
        <w:rPr>
          <w:rStyle w:val="Bodytext1"/>
          <w:rFonts w:asciiTheme="minorHAnsi" w:hAnsiTheme="minorHAnsi" w:cstheme="minorHAnsi"/>
          <w:sz w:val="24"/>
          <w:szCs w:val="24"/>
        </w:rPr>
        <w:t xml:space="preserve">As part of the process, the interviewers will be trained on the consent procedure. A written informed consent form (see </w:t>
      </w:r>
      <w:r w:rsidRPr="00913076">
        <w:rPr>
          <w:rStyle w:val="Bodytext1"/>
          <w:rFonts w:asciiTheme="minorHAnsi" w:hAnsiTheme="minorHAnsi" w:cstheme="minorHAnsi"/>
          <w:b/>
          <w:bCs/>
          <w:sz w:val="24"/>
          <w:szCs w:val="24"/>
        </w:rPr>
        <w:t xml:space="preserve">Appendix </w:t>
      </w:r>
      <w:r w:rsidRPr="00913076">
        <w:rPr>
          <w:rStyle w:val="Bodytext1"/>
          <w:rFonts w:asciiTheme="minorHAnsi" w:hAnsiTheme="minorHAnsi" w:cstheme="minorHAnsi"/>
          <w:sz w:val="24"/>
          <w:szCs w:val="24"/>
        </w:rPr>
        <w:t>5) will be explained to all participants in the local language. These forms, to be read out loud to participants, will include a full description of voluntary participation, the right to withdraw from the study at any time, and the right to not answer any question. The forms will also address the risks, benefits, and purpose of the study and what we hope to learn. Interviewees will be requested to provide written consent to be interviewed. Each consent form will be signed by the participant and interviewer and verified by the supervisor to ensure all participants have provided consent.</w:t>
      </w:r>
    </w:p>
    <w:p w14:paraId="72377FA9" w14:textId="77777777" w:rsidR="00312368" w:rsidRPr="00913076" w:rsidRDefault="005243FD" w:rsidP="00330C7E">
      <w:pPr>
        <w:pStyle w:val="Bodytext10"/>
        <w:spacing w:after="100" w:line="336" w:lineRule="auto"/>
        <w:jc w:val="both"/>
        <w:rPr>
          <w:rFonts w:asciiTheme="minorHAnsi" w:hAnsiTheme="minorHAnsi" w:cstheme="minorHAnsi"/>
          <w:color w:val="00B050"/>
          <w:sz w:val="24"/>
          <w:szCs w:val="24"/>
        </w:rPr>
      </w:pPr>
      <w:r w:rsidRPr="00913076">
        <w:rPr>
          <w:rStyle w:val="Bodytext1"/>
          <w:rFonts w:asciiTheme="minorHAnsi" w:hAnsiTheme="minorHAnsi" w:cstheme="minorHAnsi"/>
          <w:b/>
          <w:bCs/>
          <w:color w:val="00B050"/>
          <w:sz w:val="24"/>
          <w:szCs w:val="24"/>
        </w:rPr>
        <w:t>Pre-testing of the study tools</w:t>
      </w:r>
    </w:p>
    <w:p w14:paraId="562971E0" w14:textId="77777777" w:rsidR="00312368" w:rsidRPr="00913076" w:rsidRDefault="005243FD" w:rsidP="00330C7E">
      <w:pPr>
        <w:pStyle w:val="Bodytext10"/>
        <w:spacing w:after="500"/>
        <w:jc w:val="both"/>
        <w:rPr>
          <w:rFonts w:asciiTheme="minorHAnsi" w:hAnsiTheme="minorHAnsi" w:cstheme="minorHAnsi"/>
          <w:sz w:val="24"/>
          <w:szCs w:val="24"/>
        </w:rPr>
      </w:pPr>
      <w:r w:rsidRPr="00913076">
        <w:rPr>
          <w:rStyle w:val="Bodytext1"/>
          <w:rFonts w:asciiTheme="minorHAnsi" w:hAnsiTheme="minorHAnsi" w:cstheme="minorHAnsi"/>
          <w:sz w:val="24"/>
          <w:szCs w:val="24"/>
        </w:rPr>
        <w:t>The adapted study tools will be pretested with research assistants as part of training to test the validity of the instrument and the time it will take to complete a questionnaire. The feedback from the pre-test will be used to refine and finalize the tools.</w:t>
      </w:r>
    </w:p>
    <w:p w14:paraId="0F028568" w14:textId="77777777" w:rsidR="00312368" w:rsidRPr="00913076" w:rsidRDefault="005243FD" w:rsidP="00330C7E">
      <w:pPr>
        <w:pStyle w:val="Bodytext10"/>
        <w:spacing w:after="100" w:line="336" w:lineRule="auto"/>
        <w:jc w:val="both"/>
        <w:rPr>
          <w:rFonts w:asciiTheme="minorHAnsi" w:hAnsiTheme="minorHAnsi" w:cstheme="minorHAnsi"/>
          <w:color w:val="00B050"/>
          <w:sz w:val="24"/>
          <w:szCs w:val="24"/>
        </w:rPr>
      </w:pPr>
      <w:r w:rsidRPr="00913076">
        <w:rPr>
          <w:rStyle w:val="Bodytext1"/>
          <w:rFonts w:asciiTheme="minorHAnsi" w:hAnsiTheme="minorHAnsi" w:cstheme="minorHAnsi"/>
          <w:b/>
          <w:bCs/>
          <w:color w:val="00B050"/>
          <w:sz w:val="24"/>
          <w:szCs w:val="24"/>
        </w:rPr>
        <w:t>Data collection</w:t>
      </w:r>
    </w:p>
    <w:p w14:paraId="6EC490E3" w14:textId="5DE49BBF" w:rsidR="00312368" w:rsidRPr="00913076" w:rsidRDefault="005243FD" w:rsidP="00330C7E">
      <w:pPr>
        <w:pStyle w:val="Bodytext10"/>
        <w:spacing w:after="100" w:line="336" w:lineRule="auto"/>
        <w:jc w:val="both"/>
        <w:rPr>
          <w:rFonts w:asciiTheme="minorHAnsi" w:hAnsiTheme="minorHAnsi" w:cstheme="minorHAnsi"/>
          <w:sz w:val="24"/>
          <w:szCs w:val="24"/>
        </w:rPr>
      </w:pPr>
      <w:r w:rsidRPr="00913076">
        <w:rPr>
          <w:rStyle w:val="Bodytext1"/>
          <w:rFonts w:asciiTheme="minorHAnsi" w:hAnsiTheme="minorHAnsi" w:cstheme="minorHAnsi"/>
          <w:sz w:val="24"/>
          <w:szCs w:val="24"/>
        </w:rPr>
        <w:t>The SMC End-of-</w:t>
      </w:r>
      <w:proofErr w:type="gramStart"/>
      <w:r w:rsidRPr="00913076">
        <w:rPr>
          <w:rStyle w:val="Bodytext1"/>
          <w:rFonts w:asciiTheme="minorHAnsi" w:hAnsiTheme="minorHAnsi" w:cstheme="minorHAnsi"/>
          <w:sz w:val="24"/>
          <w:szCs w:val="24"/>
        </w:rPr>
        <w:t>Round</w:t>
      </w:r>
      <w:proofErr w:type="gramEnd"/>
      <w:r w:rsidRPr="00913076">
        <w:rPr>
          <w:rStyle w:val="Bodytext1"/>
          <w:rFonts w:asciiTheme="minorHAnsi" w:hAnsiTheme="minorHAnsi" w:cstheme="minorHAnsi"/>
          <w:sz w:val="24"/>
          <w:szCs w:val="24"/>
        </w:rPr>
        <w:t xml:space="preserve"> coverage survey will involve the collection of</w:t>
      </w:r>
      <w:r w:rsidR="009A2E6C" w:rsidRPr="00913076">
        <w:rPr>
          <w:rStyle w:val="Bodytext1"/>
          <w:rFonts w:asciiTheme="minorHAnsi" w:hAnsiTheme="minorHAnsi" w:cstheme="minorHAnsi"/>
          <w:sz w:val="24"/>
          <w:szCs w:val="24"/>
        </w:rPr>
        <w:t xml:space="preserve"> </w:t>
      </w:r>
      <w:r w:rsidRPr="00913076">
        <w:rPr>
          <w:rStyle w:val="Bodytext1"/>
          <w:rFonts w:asciiTheme="minorHAnsi" w:hAnsiTheme="minorHAnsi" w:cstheme="minorHAnsi"/>
          <w:sz w:val="24"/>
          <w:szCs w:val="24"/>
        </w:rPr>
        <w:t xml:space="preserve">a series of essential indicators (both treatment, coverage and quality indicators). Questions and indicators have been adapted to be specific to the </w:t>
      </w:r>
      <w:r w:rsidR="00A32D8C" w:rsidRPr="00913076">
        <w:rPr>
          <w:rStyle w:val="Bodytext1"/>
          <w:rFonts w:asciiTheme="minorHAnsi" w:hAnsiTheme="minorHAnsi" w:cstheme="minorHAnsi"/>
          <w:sz w:val="24"/>
          <w:szCs w:val="24"/>
        </w:rPr>
        <w:t>implemented SMC campaign</w:t>
      </w:r>
      <w:r w:rsidRPr="00913076">
        <w:rPr>
          <w:rStyle w:val="Bodytext1"/>
          <w:rFonts w:asciiTheme="minorHAnsi" w:hAnsiTheme="minorHAnsi" w:cstheme="minorHAnsi"/>
          <w:sz w:val="24"/>
          <w:szCs w:val="24"/>
        </w:rPr>
        <w:t>. The research team will be trained on inclusion and exclusion criteria and will check these on entering each compound, after request</w:t>
      </w:r>
      <w:r w:rsidR="00A32D8C" w:rsidRPr="00913076">
        <w:rPr>
          <w:rStyle w:val="Bodytext1"/>
          <w:rFonts w:asciiTheme="minorHAnsi" w:hAnsiTheme="minorHAnsi" w:cstheme="minorHAnsi"/>
          <w:sz w:val="24"/>
          <w:szCs w:val="24"/>
        </w:rPr>
        <w:t>ing</w:t>
      </w:r>
      <w:r w:rsidRPr="00913076">
        <w:rPr>
          <w:rStyle w:val="Bodytext1"/>
          <w:rFonts w:asciiTheme="minorHAnsi" w:hAnsiTheme="minorHAnsi" w:cstheme="minorHAnsi"/>
          <w:sz w:val="24"/>
          <w:szCs w:val="24"/>
        </w:rPr>
        <w:t xml:space="preserve"> permission to conduct research with the caregiver</w:t>
      </w:r>
      <w:r w:rsidR="00A32D8C" w:rsidRPr="00913076">
        <w:rPr>
          <w:rStyle w:val="Bodytext1"/>
          <w:rFonts w:asciiTheme="minorHAnsi" w:hAnsiTheme="minorHAnsi" w:cstheme="minorHAnsi"/>
          <w:sz w:val="24"/>
          <w:szCs w:val="24"/>
        </w:rPr>
        <w:t xml:space="preserve"> and/or</w:t>
      </w:r>
      <w:r w:rsidRPr="00913076">
        <w:rPr>
          <w:rStyle w:val="Bodytext1"/>
          <w:rFonts w:asciiTheme="minorHAnsi" w:hAnsiTheme="minorHAnsi" w:cstheme="minorHAnsi"/>
          <w:sz w:val="24"/>
          <w:szCs w:val="24"/>
        </w:rPr>
        <w:t xml:space="preserve"> the head of household.</w:t>
      </w:r>
    </w:p>
    <w:p w14:paraId="05F757D1" w14:textId="77777777" w:rsidR="00312368" w:rsidRPr="00913076" w:rsidRDefault="005243FD" w:rsidP="00330C7E">
      <w:pPr>
        <w:pStyle w:val="Bodytext10"/>
        <w:spacing w:after="100" w:line="338" w:lineRule="auto"/>
        <w:jc w:val="both"/>
        <w:rPr>
          <w:rFonts w:asciiTheme="minorHAnsi" w:hAnsiTheme="minorHAnsi" w:cstheme="minorHAnsi"/>
          <w:sz w:val="24"/>
          <w:szCs w:val="24"/>
        </w:rPr>
      </w:pPr>
      <w:r w:rsidRPr="00913076">
        <w:rPr>
          <w:rStyle w:val="Bodytext1"/>
          <w:rFonts w:asciiTheme="minorHAnsi" w:hAnsiTheme="minorHAnsi" w:cstheme="minorHAnsi"/>
          <w:sz w:val="24"/>
          <w:szCs w:val="24"/>
        </w:rPr>
        <w:t xml:space="preserve">Data will be collected by administering the questionnaires to the identified respondents in the sampled compound within the communities. The survey questionnaires will be administered by the trained research team. All surveys will be administered using </w:t>
      </w:r>
      <w:proofErr w:type="spellStart"/>
      <w:r w:rsidRPr="00913076">
        <w:rPr>
          <w:rStyle w:val="Bodytext1"/>
          <w:rFonts w:asciiTheme="minorHAnsi" w:hAnsiTheme="minorHAnsi" w:cstheme="minorHAnsi"/>
          <w:sz w:val="24"/>
          <w:szCs w:val="24"/>
        </w:rPr>
        <w:t>SurveyCTO</w:t>
      </w:r>
      <w:proofErr w:type="spellEnd"/>
      <w:r w:rsidRPr="00913076">
        <w:rPr>
          <w:rStyle w:val="Bodytext1"/>
          <w:rFonts w:asciiTheme="minorHAnsi" w:hAnsiTheme="minorHAnsi" w:cstheme="minorHAnsi"/>
          <w:sz w:val="24"/>
          <w:szCs w:val="24"/>
        </w:rPr>
        <w:t xml:space="preserve">, an electronic data collection platform for smartphones, and data were uploaded to a remote server after each day of data collection. </w:t>
      </w:r>
      <w:bookmarkStart w:id="2" w:name="_Hlk127265987"/>
      <w:r w:rsidRPr="00913076">
        <w:rPr>
          <w:rStyle w:val="Bodytext1"/>
          <w:rFonts w:asciiTheme="minorHAnsi" w:hAnsiTheme="minorHAnsi" w:cstheme="minorHAnsi"/>
          <w:sz w:val="24"/>
          <w:szCs w:val="24"/>
        </w:rPr>
        <w:t xml:space="preserve">Interviews will be conducted in local languages using the questionnaires provided by Malaria Consortium, with data collectors translating from the Portuguese questionnaire on the spot and assign responses to pre-defined answer categories in </w:t>
      </w:r>
      <w:proofErr w:type="spellStart"/>
      <w:r w:rsidRPr="00913076">
        <w:rPr>
          <w:rStyle w:val="Bodytext1"/>
          <w:rFonts w:asciiTheme="minorHAnsi" w:hAnsiTheme="minorHAnsi" w:cstheme="minorHAnsi"/>
          <w:sz w:val="24"/>
          <w:szCs w:val="24"/>
        </w:rPr>
        <w:t>SurveyCTO</w:t>
      </w:r>
      <w:bookmarkEnd w:id="2"/>
      <w:proofErr w:type="spellEnd"/>
      <w:r w:rsidRPr="00913076">
        <w:rPr>
          <w:rStyle w:val="Bodytext1"/>
          <w:rFonts w:asciiTheme="minorHAnsi" w:hAnsiTheme="minorHAnsi" w:cstheme="minorHAnsi"/>
          <w:sz w:val="24"/>
          <w:szCs w:val="24"/>
        </w:rPr>
        <w:t>. For the age eligibility indicator, survey respondents may be asked to present a birth certificate or vaccination card to the data collector to verify the child's date of birth.</w:t>
      </w:r>
    </w:p>
    <w:p w14:paraId="7CF0B06F" w14:textId="0D55AAC8" w:rsidR="00312368" w:rsidRPr="00913076" w:rsidRDefault="005243FD" w:rsidP="00330C7E">
      <w:pPr>
        <w:pStyle w:val="Bodytext10"/>
        <w:spacing w:after="100" w:line="336" w:lineRule="auto"/>
        <w:jc w:val="both"/>
        <w:rPr>
          <w:rFonts w:asciiTheme="minorHAnsi" w:hAnsiTheme="minorHAnsi" w:cstheme="minorHAnsi"/>
          <w:sz w:val="24"/>
          <w:szCs w:val="24"/>
        </w:rPr>
      </w:pPr>
      <w:r w:rsidRPr="00913076">
        <w:rPr>
          <w:rStyle w:val="Bodytext1"/>
          <w:rFonts w:asciiTheme="minorHAnsi" w:hAnsiTheme="minorHAnsi" w:cstheme="minorHAnsi"/>
          <w:sz w:val="24"/>
          <w:szCs w:val="24"/>
        </w:rPr>
        <w:t>The duration of the data collection is expected to last for seven days during the first week of Ma</w:t>
      </w:r>
      <w:r w:rsidR="009A2E6C" w:rsidRPr="00913076">
        <w:rPr>
          <w:rStyle w:val="Bodytext1"/>
          <w:rFonts w:asciiTheme="minorHAnsi" w:hAnsiTheme="minorHAnsi" w:cstheme="minorHAnsi"/>
          <w:sz w:val="24"/>
          <w:szCs w:val="24"/>
        </w:rPr>
        <w:t>y</w:t>
      </w:r>
      <w:r w:rsidRPr="00913076">
        <w:rPr>
          <w:rStyle w:val="Bodytext1"/>
          <w:rFonts w:asciiTheme="minorHAnsi" w:hAnsiTheme="minorHAnsi" w:cstheme="minorHAnsi"/>
          <w:sz w:val="24"/>
          <w:szCs w:val="24"/>
        </w:rPr>
        <w:t xml:space="preserve"> 202</w:t>
      </w:r>
      <w:r w:rsidR="002E4233" w:rsidRPr="00913076">
        <w:rPr>
          <w:rStyle w:val="Bodytext1"/>
          <w:rFonts w:asciiTheme="minorHAnsi" w:hAnsiTheme="minorHAnsi" w:cstheme="minorHAnsi"/>
          <w:sz w:val="24"/>
          <w:szCs w:val="24"/>
        </w:rPr>
        <w:t>4</w:t>
      </w:r>
      <w:r w:rsidRPr="00913076">
        <w:rPr>
          <w:rStyle w:val="Bodytext1"/>
          <w:rFonts w:asciiTheme="minorHAnsi" w:hAnsiTheme="minorHAnsi" w:cstheme="minorHAnsi"/>
          <w:sz w:val="24"/>
          <w:szCs w:val="24"/>
        </w:rPr>
        <w:t>.</w:t>
      </w:r>
    </w:p>
    <w:p w14:paraId="38AD856A" w14:textId="77777777" w:rsidR="00312368" w:rsidRPr="00913076" w:rsidRDefault="005243FD" w:rsidP="00330C7E">
      <w:pPr>
        <w:pStyle w:val="Bodytext10"/>
        <w:spacing w:after="100" w:line="336" w:lineRule="auto"/>
        <w:jc w:val="both"/>
        <w:rPr>
          <w:rFonts w:asciiTheme="minorHAnsi" w:hAnsiTheme="minorHAnsi" w:cstheme="minorHAnsi"/>
          <w:color w:val="00B050"/>
          <w:sz w:val="24"/>
          <w:szCs w:val="24"/>
        </w:rPr>
      </w:pPr>
      <w:r w:rsidRPr="00913076">
        <w:rPr>
          <w:rStyle w:val="Bodytext1"/>
          <w:rFonts w:asciiTheme="minorHAnsi" w:hAnsiTheme="minorHAnsi" w:cstheme="minorHAnsi"/>
          <w:b/>
          <w:bCs/>
          <w:color w:val="00B050"/>
          <w:sz w:val="24"/>
          <w:szCs w:val="24"/>
        </w:rPr>
        <w:t>Data management</w:t>
      </w:r>
    </w:p>
    <w:p w14:paraId="73E40D58" w14:textId="66F99D91" w:rsidR="00312368" w:rsidRPr="00913076" w:rsidRDefault="005243FD" w:rsidP="00330C7E">
      <w:pPr>
        <w:pStyle w:val="Bodytext10"/>
        <w:spacing w:after="500" w:line="336" w:lineRule="auto"/>
        <w:jc w:val="both"/>
        <w:rPr>
          <w:rFonts w:asciiTheme="minorHAnsi" w:hAnsiTheme="minorHAnsi" w:cstheme="minorHAnsi"/>
          <w:sz w:val="24"/>
          <w:szCs w:val="24"/>
        </w:rPr>
      </w:pPr>
      <w:r w:rsidRPr="00913076">
        <w:rPr>
          <w:rStyle w:val="Bodytext1"/>
          <w:rFonts w:asciiTheme="minorHAnsi" w:hAnsiTheme="minorHAnsi" w:cstheme="minorHAnsi"/>
          <w:sz w:val="24"/>
          <w:szCs w:val="24"/>
        </w:rPr>
        <w:t xml:space="preserve">Using CAPI, which allows for in-field data entry and server </w:t>
      </w:r>
      <w:r w:rsidR="009A2E6C" w:rsidRPr="00913076">
        <w:rPr>
          <w:rStyle w:val="Bodytext1"/>
          <w:rFonts w:asciiTheme="minorHAnsi" w:hAnsiTheme="minorHAnsi" w:cstheme="minorHAnsi"/>
          <w:sz w:val="24"/>
          <w:szCs w:val="24"/>
        </w:rPr>
        <w:t>synchronization</w:t>
      </w:r>
      <w:r w:rsidRPr="00913076">
        <w:rPr>
          <w:rStyle w:val="Bodytext1"/>
          <w:rFonts w:asciiTheme="minorHAnsi" w:hAnsiTheme="minorHAnsi" w:cstheme="minorHAnsi"/>
          <w:sz w:val="24"/>
          <w:szCs w:val="24"/>
        </w:rPr>
        <w:t xml:space="preserve">, data collected will be verified for quality assurance purposes by the quality assurance officer in field and uploaded daily to the </w:t>
      </w:r>
      <w:proofErr w:type="spellStart"/>
      <w:r w:rsidRPr="00913076">
        <w:rPr>
          <w:rStyle w:val="Bodytext1"/>
          <w:rFonts w:asciiTheme="minorHAnsi" w:hAnsiTheme="minorHAnsi" w:cstheme="minorHAnsi"/>
          <w:sz w:val="24"/>
          <w:szCs w:val="24"/>
        </w:rPr>
        <w:t>SurveyCTO</w:t>
      </w:r>
      <w:proofErr w:type="spellEnd"/>
      <w:r w:rsidRPr="00913076">
        <w:rPr>
          <w:rStyle w:val="Bodytext1"/>
          <w:rFonts w:asciiTheme="minorHAnsi" w:hAnsiTheme="minorHAnsi" w:cstheme="minorHAnsi"/>
          <w:sz w:val="24"/>
          <w:szCs w:val="24"/>
        </w:rPr>
        <w:t xml:space="preserve"> platform. The uploaded files will undergo additional consistency checks, </w:t>
      </w:r>
      <w:r w:rsidR="009A2E6C" w:rsidRPr="00913076">
        <w:rPr>
          <w:rStyle w:val="Bodytext1"/>
          <w:rFonts w:asciiTheme="minorHAnsi" w:hAnsiTheme="minorHAnsi" w:cstheme="minorHAnsi"/>
          <w:sz w:val="24"/>
          <w:szCs w:val="24"/>
        </w:rPr>
        <w:t>cleaned,</w:t>
      </w:r>
      <w:r w:rsidRPr="00913076">
        <w:rPr>
          <w:rStyle w:val="Bodytext1"/>
          <w:rFonts w:asciiTheme="minorHAnsi" w:hAnsiTheme="minorHAnsi" w:cstheme="minorHAnsi"/>
          <w:sz w:val="24"/>
          <w:szCs w:val="24"/>
        </w:rPr>
        <w:t xml:space="preserve"> and saved into Stata. Extensive data cleaning will be done at the end of the fieldwork.</w:t>
      </w:r>
    </w:p>
    <w:p w14:paraId="0EE0E102" w14:textId="77777777" w:rsidR="00312368" w:rsidRPr="00913076" w:rsidRDefault="005243FD" w:rsidP="00330C7E">
      <w:pPr>
        <w:pStyle w:val="Bodytext10"/>
        <w:spacing w:after="100" w:line="336" w:lineRule="auto"/>
        <w:jc w:val="both"/>
        <w:rPr>
          <w:rFonts w:asciiTheme="minorHAnsi" w:hAnsiTheme="minorHAnsi" w:cstheme="minorHAnsi"/>
          <w:color w:val="00B050"/>
          <w:sz w:val="24"/>
          <w:szCs w:val="24"/>
        </w:rPr>
      </w:pPr>
      <w:r w:rsidRPr="00913076">
        <w:rPr>
          <w:rStyle w:val="Bodytext1"/>
          <w:rFonts w:asciiTheme="minorHAnsi" w:hAnsiTheme="minorHAnsi" w:cstheme="minorHAnsi"/>
          <w:b/>
          <w:bCs/>
          <w:color w:val="00B050"/>
          <w:sz w:val="24"/>
          <w:szCs w:val="24"/>
        </w:rPr>
        <w:t>Data quality assurance</w:t>
      </w:r>
    </w:p>
    <w:p w14:paraId="6424BCE7" w14:textId="77777777" w:rsidR="00312368" w:rsidRPr="00913076" w:rsidRDefault="005243FD" w:rsidP="00330C7E">
      <w:pPr>
        <w:pStyle w:val="Bodytext10"/>
        <w:spacing w:after="500"/>
        <w:jc w:val="both"/>
        <w:rPr>
          <w:rFonts w:asciiTheme="minorHAnsi" w:hAnsiTheme="minorHAnsi" w:cstheme="minorHAnsi"/>
          <w:sz w:val="24"/>
          <w:szCs w:val="24"/>
        </w:rPr>
      </w:pPr>
      <w:r w:rsidRPr="00913076">
        <w:rPr>
          <w:rStyle w:val="Bodytext1"/>
          <w:rFonts w:asciiTheme="minorHAnsi" w:hAnsiTheme="minorHAnsi" w:cstheme="minorHAnsi"/>
          <w:sz w:val="24"/>
          <w:szCs w:val="24"/>
        </w:rPr>
        <w:t xml:space="preserve">Data capture will be performed using software prepared for the survey using the </w:t>
      </w:r>
      <w:proofErr w:type="spellStart"/>
      <w:r w:rsidRPr="00913076">
        <w:rPr>
          <w:rStyle w:val="Bodytext1"/>
          <w:rFonts w:asciiTheme="minorHAnsi" w:hAnsiTheme="minorHAnsi" w:cstheme="minorHAnsi"/>
          <w:sz w:val="24"/>
          <w:szCs w:val="24"/>
        </w:rPr>
        <w:t>SurveyCTO</w:t>
      </w:r>
      <w:proofErr w:type="spellEnd"/>
      <w:r w:rsidRPr="00913076">
        <w:rPr>
          <w:rStyle w:val="Bodytext1"/>
          <w:rFonts w:asciiTheme="minorHAnsi" w:hAnsiTheme="minorHAnsi" w:cstheme="minorHAnsi"/>
          <w:sz w:val="24"/>
          <w:szCs w:val="24"/>
        </w:rPr>
        <w:t xml:space="preserve"> software application. During fieldwork, daily quality assurance checks will be carried out using Stata 16 and the power-BI to flag inconsistencies in the tabulations of each question for each tool.</w:t>
      </w:r>
    </w:p>
    <w:p w14:paraId="706FC614" w14:textId="77777777" w:rsidR="00312368" w:rsidRPr="00913076" w:rsidRDefault="005243FD" w:rsidP="00330C7E">
      <w:pPr>
        <w:pStyle w:val="Bodytext10"/>
        <w:spacing w:after="100" w:line="336" w:lineRule="auto"/>
        <w:jc w:val="both"/>
        <w:rPr>
          <w:rFonts w:asciiTheme="minorHAnsi" w:hAnsiTheme="minorHAnsi" w:cstheme="minorHAnsi"/>
          <w:color w:val="00B050"/>
          <w:sz w:val="24"/>
          <w:szCs w:val="24"/>
        </w:rPr>
      </w:pPr>
      <w:r w:rsidRPr="00913076">
        <w:rPr>
          <w:rStyle w:val="Bodytext1"/>
          <w:rFonts w:asciiTheme="minorHAnsi" w:hAnsiTheme="minorHAnsi" w:cstheme="minorHAnsi"/>
          <w:b/>
          <w:bCs/>
          <w:color w:val="00B050"/>
          <w:sz w:val="24"/>
          <w:szCs w:val="24"/>
        </w:rPr>
        <w:t>Data protection</w:t>
      </w:r>
    </w:p>
    <w:p w14:paraId="0B0ED725" w14:textId="77777777" w:rsidR="00312368" w:rsidRPr="00913076" w:rsidRDefault="005243FD" w:rsidP="00330C7E">
      <w:pPr>
        <w:pStyle w:val="Bodytext10"/>
        <w:spacing w:after="500"/>
        <w:jc w:val="both"/>
        <w:rPr>
          <w:rFonts w:asciiTheme="minorHAnsi" w:hAnsiTheme="minorHAnsi" w:cstheme="minorHAnsi"/>
          <w:sz w:val="24"/>
          <w:szCs w:val="24"/>
        </w:rPr>
      </w:pPr>
      <w:r w:rsidRPr="00913076">
        <w:rPr>
          <w:rStyle w:val="Bodytext1"/>
          <w:rFonts w:asciiTheme="minorHAnsi" w:hAnsiTheme="minorHAnsi" w:cstheme="minorHAnsi"/>
          <w:sz w:val="24"/>
          <w:szCs w:val="24"/>
        </w:rPr>
        <w:t xml:space="preserve">The electronic data collection using </w:t>
      </w:r>
      <w:proofErr w:type="spellStart"/>
      <w:r w:rsidRPr="00913076">
        <w:rPr>
          <w:rStyle w:val="Bodytext1"/>
          <w:rFonts w:asciiTheme="minorHAnsi" w:hAnsiTheme="minorHAnsi" w:cstheme="minorHAnsi"/>
          <w:sz w:val="24"/>
          <w:szCs w:val="24"/>
        </w:rPr>
        <w:t>SurveyCTO</w:t>
      </w:r>
      <w:proofErr w:type="spellEnd"/>
      <w:r w:rsidRPr="00913076">
        <w:rPr>
          <w:rStyle w:val="Bodytext1"/>
          <w:rFonts w:asciiTheme="minorHAnsi" w:hAnsiTheme="minorHAnsi" w:cstheme="minorHAnsi"/>
          <w:sz w:val="24"/>
          <w:szCs w:val="24"/>
        </w:rPr>
        <w:t xml:space="preserve"> will be kept confidential and anonymous as each study participant will only be Identified by a unique ID in the database and the data will be secured and will be saved on a password-protected encrypted server or on a password-protected encrypted computer for the purposes of analysis. The collected data will only be used for the intended purpose of the research and for possible further analysis by researchers.</w:t>
      </w:r>
    </w:p>
    <w:p w14:paraId="53604CE1" w14:textId="7E151E51" w:rsidR="00312368" w:rsidRPr="00913076" w:rsidRDefault="005243FD" w:rsidP="00330C7E">
      <w:pPr>
        <w:pStyle w:val="Bodytext10"/>
        <w:spacing w:after="100" w:line="336" w:lineRule="auto"/>
        <w:jc w:val="both"/>
        <w:rPr>
          <w:rFonts w:asciiTheme="minorHAnsi" w:hAnsiTheme="minorHAnsi" w:cstheme="minorHAnsi"/>
          <w:color w:val="00B050"/>
          <w:sz w:val="24"/>
          <w:szCs w:val="24"/>
        </w:rPr>
      </w:pPr>
      <w:r w:rsidRPr="00913076">
        <w:rPr>
          <w:rStyle w:val="Bodytext1"/>
          <w:rFonts w:asciiTheme="minorHAnsi" w:hAnsiTheme="minorHAnsi" w:cstheme="minorHAnsi"/>
          <w:b/>
          <w:bCs/>
          <w:color w:val="00B050"/>
          <w:sz w:val="24"/>
          <w:szCs w:val="24"/>
        </w:rPr>
        <w:t xml:space="preserve">Data </w:t>
      </w:r>
      <w:r w:rsidR="009A2E6C" w:rsidRPr="00913076">
        <w:rPr>
          <w:rStyle w:val="Bodytext1"/>
          <w:rFonts w:asciiTheme="minorHAnsi" w:hAnsiTheme="minorHAnsi" w:cstheme="minorHAnsi"/>
          <w:b/>
          <w:bCs/>
          <w:color w:val="00B050"/>
          <w:sz w:val="24"/>
          <w:szCs w:val="24"/>
        </w:rPr>
        <w:t>analysis</w:t>
      </w:r>
    </w:p>
    <w:p w14:paraId="3072348C" w14:textId="468055A1" w:rsidR="00312368" w:rsidRPr="00913076" w:rsidRDefault="005243FD" w:rsidP="00330C7E">
      <w:pPr>
        <w:pStyle w:val="Bodytext10"/>
        <w:spacing w:after="500" w:line="336" w:lineRule="auto"/>
        <w:jc w:val="both"/>
        <w:rPr>
          <w:rFonts w:asciiTheme="minorHAnsi" w:hAnsiTheme="minorHAnsi" w:cstheme="minorHAnsi"/>
          <w:sz w:val="24"/>
          <w:szCs w:val="24"/>
        </w:rPr>
      </w:pPr>
      <w:r w:rsidRPr="00913076">
        <w:rPr>
          <w:rStyle w:val="Bodytext1"/>
          <w:rFonts w:asciiTheme="minorHAnsi" w:hAnsiTheme="minorHAnsi" w:cstheme="minorHAnsi"/>
          <w:sz w:val="24"/>
          <w:szCs w:val="24"/>
        </w:rPr>
        <w:t xml:space="preserve">The data analysis will be carried out using Stata 16. Coverage will be calculated using the proportion command, with 95% confidence intervals calculated using a logit transform. Population size weights will be applied using the </w:t>
      </w:r>
      <w:proofErr w:type="spellStart"/>
      <w:r w:rsidR="00BD328B" w:rsidRPr="00913076">
        <w:rPr>
          <w:rStyle w:val="Bodytext1"/>
          <w:rFonts w:asciiTheme="minorHAnsi" w:hAnsiTheme="minorHAnsi" w:cstheme="minorHAnsi"/>
          <w:sz w:val="24"/>
          <w:szCs w:val="24"/>
        </w:rPr>
        <w:t>s</w:t>
      </w:r>
      <w:r w:rsidR="00A32D8C" w:rsidRPr="00913076">
        <w:rPr>
          <w:rStyle w:val="Bodytext1"/>
          <w:rFonts w:asciiTheme="minorHAnsi" w:hAnsiTheme="minorHAnsi" w:cstheme="minorHAnsi"/>
          <w:sz w:val="24"/>
          <w:szCs w:val="24"/>
        </w:rPr>
        <w:t>v</w:t>
      </w:r>
      <w:r w:rsidR="00BD328B" w:rsidRPr="00913076">
        <w:rPr>
          <w:rStyle w:val="Bodytext1"/>
          <w:rFonts w:asciiTheme="minorHAnsi" w:hAnsiTheme="minorHAnsi" w:cstheme="minorHAnsi"/>
          <w:sz w:val="24"/>
          <w:szCs w:val="24"/>
        </w:rPr>
        <w:t>y</w:t>
      </w:r>
      <w:proofErr w:type="spellEnd"/>
      <w:r w:rsidRPr="00913076">
        <w:rPr>
          <w:rStyle w:val="Bodytext1"/>
          <w:rFonts w:asciiTheme="minorHAnsi" w:hAnsiTheme="minorHAnsi" w:cstheme="minorHAnsi"/>
          <w:sz w:val="24"/>
          <w:szCs w:val="24"/>
        </w:rPr>
        <w:t xml:space="preserve">: command as appropriate for estimates of coverage indicators </w:t>
      </w:r>
      <w:proofErr w:type="gramStart"/>
      <w:r w:rsidRPr="00913076">
        <w:rPr>
          <w:rStyle w:val="Bodytext1"/>
          <w:rFonts w:asciiTheme="minorHAnsi" w:hAnsiTheme="minorHAnsi" w:cstheme="minorHAnsi"/>
          <w:sz w:val="24"/>
          <w:szCs w:val="24"/>
        </w:rPr>
        <w:t>in the event that</w:t>
      </w:r>
      <w:proofErr w:type="gramEnd"/>
      <w:r w:rsidRPr="00913076">
        <w:rPr>
          <w:rStyle w:val="Bodytext1"/>
          <w:rFonts w:asciiTheme="minorHAnsi" w:hAnsiTheme="minorHAnsi" w:cstheme="minorHAnsi"/>
          <w:sz w:val="24"/>
          <w:szCs w:val="24"/>
        </w:rPr>
        <w:t xml:space="preserve"> it was not possible to achieve a self-weighting sample. All indicators of interest will be calculated in proportion by district and an average across </w:t>
      </w:r>
      <w:r w:rsidR="00A32D8C" w:rsidRPr="00913076">
        <w:rPr>
          <w:rStyle w:val="Bodytext1"/>
          <w:rFonts w:asciiTheme="minorHAnsi" w:hAnsiTheme="minorHAnsi" w:cstheme="minorHAnsi"/>
          <w:sz w:val="24"/>
          <w:szCs w:val="24"/>
        </w:rPr>
        <w:t xml:space="preserve">all </w:t>
      </w:r>
      <w:r w:rsidRPr="00913076">
        <w:rPr>
          <w:rStyle w:val="Bodytext1"/>
          <w:rFonts w:asciiTheme="minorHAnsi" w:hAnsiTheme="minorHAnsi" w:cstheme="minorHAnsi"/>
          <w:sz w:val="24"/>
          <w:szCs w:val="24"/>
        </w:rPr>
        <w:t>districts. The confidence interval (Cl) of 95% will be used to provide a range of values around the estimate within which selected result will be expected to fall.</w:t>
      </w:r>
    </w:p>
    <w:p w14:paraId="2856AC69" w14:textId="77777777" w:rsidR="00312368" w:rsidRPr="00913076" w:rsidRDefault="005243FD" w:rsidP="00330C7E">
      <w:pPr>
        <w:pStyle w:val="Bodytext10"/>
        <w:spacing w:after="100" w:line="336" w:lineRule="auto"/>
        <w:jc w:val="both"/>
        <w:rPr>
          <w:rFonts w:asciiTheme="minorHAnsi" w:hAnsiTheme="minorHAnsi" w:cstheme="minorHAnsi"/>
          <w:color w:val="00B050"/>
          <w:sz w:val="24"/>
          <w:szCs w:val="24"/>
        </w:rPr>
      </w:pPr>
      <w:r w:rsidRPr="00913076">
        <w:rPr>
          <w:rStyle w:val="Bodytext1"/>
          <w:rFonts w:asciiTheme="minorHAnsi" w:hAnsiTheme="minorHAnsi" w:cstheme="minorHAnsi"/>
          <w:b/>
          <w:bCs/>
          <w:color w:val="00B050"/>
          <w:sz w:val="24"/>
          <w:szCs w:val="24"/>
        </w:rPr>
        <w:t xml:space="preserve">Risk to subjects and </w:t>
      </w:r>
      <w:proofErr w:type="gramStart"/>
      <w:r w:rsidRPr="00913076">
        <w:rPr>
          <w:rStyle w:val="Bodytext1"/>
          <w:rFonts w:asciiTheme="minorHAnsi" w:hAnsiTheme="minorHAnsi" w:cstheme="minorHAnsi"/>
          <w:b/>
          <w:bCs/>
          <w:color w:val="00B050"/>
          <w:sz w:val="24"/>
          <w:szCs w:val="24"/>
        </w:rPr>
        <w:t>protection</w:t>
      </w:r>
      <w:proofErr w:type="gramEnd"/>
    </w:p>
    <w:p w14:paraId="202111E9" w14:textId="35B49EC6" w:rsidR="00312368" w:rsidRPr="00913076" w:rsidRDefault="005243FD" w:rsidP="00330C7E">
      <w:pPr>
        <w:pStyle w:val="Bodytext10"/>
        <w:spacing w:after="400" w:line="336" w:lineRule="auto"/>
        <w:jc w:val="both"/>
        <w:rPr>
          <w:rFonts w:asciiTheme="minorHAnsi" w:hAnsiTheme="minorHAnsi" w:cstheme="minorHAnsi"/>
          <w:sz w:val="24"/>
          <w:szCs w:val="24"/>
        </w:rPr>
      </w:pPr>
      <w:r w:rsidRPr="00913076">
        <w:rPr>
          <w:rStyle w:val="Bodytext1"/>
          <w:rFonts w:asciiTheme="minorHAnsi" w:hAnsiTheme="minorHAnsi" w:cstheme="minorHAnsi"/>
          <w:sz w:val="24"/>
          <w:szCs w:val="24"/>
        </w:rPr>
        <w:t xml:space="preserve">This study carries minimal risk to all participants. No biomedical interventions will take place as part of this study component. We will take the following actions to mitigate the risk: (a) we will conduct the interviews in a private location as much as possible within the home, and (b) we will </w:t>
      </w:r>
      <w:r w:rsidR="00BD328B" w:rsidRPr="00913076">
        <w:rPr>
          <w:rStyle w:val="Bodytext1"/>
          <w:rFonts w:asciiTheme="minorHAnsi" w:hAnsiTheme="minorHAnsi" w:cstheme="minorHAnsi"/>
          <w:sz w:val="24"/>
          <w:szCs w:val="24"/>
        </w:rPr>
        <w:t>analyze</w:t>
      </w:r>
      <w:r w:rsidRPr="00913076">
        <w:rPr>
          <w:rStyle w:val="Bodytext1"/>
          <w:rFonts w:asciiTheme="minorHAnsi" w:hAnsiTheme="minorHAnsi" w:cstheme="minorHAnsi"/>
          <w:sz w:val="24"/>
          <w:szCs w:val="24"/>
        </w:rPr>
        <w:t xml:space="preserve"> and report only aggregate data and (c) we will not release any personally identifiable information.</w:t>
      </w:r>
    </w:p>
    <w:p w14:paraId="2FB8E259" w14:textId="77777777" w:rsidR="00312368" w:rsidRPr="00913076" w:rsidRDefault="005243FD" w:rsidP="00330C7E">
      <w:pPr>
        <w:pStyle w:val="Bodytext10"/>
        <w:spacing w:after="0" w:line="317" w:lineRule="auto"/>
        <w:jc w:val="both"/>
        <w:rPr>
          <w:rFonts w:asciiTheme="minorHAnsi" w:hAnsiTheme="minorHAnsi" w:cstheme="minorHAnsi"/>
          <w:sz w:val="24"/>
          <w:szCs w:val="24"/>
        </w:rPr>
      </w:pPr>
      <w:r w:rsidRPr="00913076">
        <w:rPr>
          <w:rStyle w:val="Bodytext1"/>
          <w:rFonts w:asciiTheme="minorHAnsi" w:hAnsiTheme="minorHAnsi" w:cstheme="minorHAnsi"/>
          <w:b/>
          <w:bCs/>
          <w:color w:val="00B050"/>
          <w:sz w:val="24"/>
          <w:szCs w:val="24"/>
        </w:rPr>
        <w:t>Strengths and limitations</w:t>
      </w:r>
    </w:p>
    <w:p w14:paraId="62D04DD7" w14:textId="684D1AE9" w:rsidR="00312368" w:rsidRPr="00913076" w:rsidRDefault="005243FD" w:rsidP="00330C7E">
      <w:pPr>
        <w:pStyle w:val="Bodytext10"/>
        <w:spacing w:after="240" w:line="317" w:lineRule="auto"/>
        <w:jc w:val="both"/>
        <w:rPr>
          <w:rFonts w:asciiTheme="minorHAnsi" w:hAnsiTheme="minorHAnsi" w:cstheme="minorHAnsi"/>
          <w:sz w:val="24"/>
          <w:szCs w:val="24"/>
        </w:rPr>
      </w:pPr>
      <w:r w:rsidRPr="00913076">
        <w:rPr>
          <w:rStyle w:val="Bodytext1"/>
          <w:rFonts w:asciiTheme="minorHAnsi" w:hAnsiTheme="minorHAnsi" w:cstheme="minorHAnsi"/>
          <w:sz w:val="24"/>
          <w:szCs w:val="24"/>
        </w:rPr>
        <w:t xml:space="preserve">The use of independent coverage surveys will allow for evaluation of the </w:t>
      </w:r>
      <w:r w:rsidR="00BD328B" w:rsidRPr="00913076">
        <w:rPr>
          <w:rStyle w:val="Bodytext1"/>
          <w:rFonts w:asciiTheme="minorHAnsi" w:hAnsiTheme="minorHAnsi" w:cstheme="minorHAnsi"/>
          <w:sz w:val="24"/>
          <w:szCs w:val="24"/>
        </w:rPr>
        <w:t>campaign</w:t>
      </w:r>
      <w:r w:rsidRPr="00913076">
        <w:rPr>
          <w:rStyle w:val="Bodytext1"/>
          <w:rFonts w:asciiTheme="minorHAnsi" w:hAnsiTheme="minorHAnsi" w:cstheme="minorHAnsi"/>
          <w:sz w:val="24"/>
          <w:szCs w:val="24"/>
        </w:rPr>
        <w:t xml:space="preserve"> performance and coverage of its target population by data collectors who </w:t>
      </w:r>
      <w:r w:rsidR="00BD328B" w:rsidRPr="00913076">
        <w:rPr>
          <w:rStyle w:val="Bodytext1"/>
          <w:rFonts w:asciiTheme="minorHAnsi" w:hAnsiTheme="minorHAnsi" w:cstheme="minorHAnsi"/>
          <w:sz w:val="24"/>
          <w:szCs w:val="24"/>
        </w:rPr>
        <w:t>w</w:t>
      </w:r>
      <w:r w:rsidR="00A32D8C" w:rsidRPr="00913076">
        <w:rPr>
          <w:rStyle w:val="Bodytext1"/>
          <w:rFonts w:asciiTheme="minorHAnsi" w:hAnsiTheme="minorHAnsi" w:cstheme="minorHAnsi"/>
          <w:sz w:val="24"/>
          <w:szCs w:val="24"/>
        </w:rPr>
        <w:t>ere</w:t>
      </w:r>
      <w:r w:rsidR="00BD328B" w:rsidRPr="00913076">
        <w:rPr>
          <w:rStyle w:val="Bodytext1"/>
          <w:rFonts w:asciiTheme="minorHAnsi" w:hAnsiTheme="minorHAnsi" w:cstheme="minorHAnsi"/>
          <w:sz w:val="24"/>
          <w:szCs w:val="24"/>
        </w:rPr>
        <w:t xml:space="preserve"> not involved</w:t>
      </w:r>
      <w:r w:rsidRPr="00913076">
        <w:rPr>
          <w:rStyle w:val="Bodytext1"/>
          <w:rFonts w:asciiTheme="minorHAnsi" w:hAnsiTheme="minorHAnsi" w:cstheme="minorHAnsi"/>
          <w:sz w:val="24"/>
          <w:szCs w:val="24"/>
        </w:rPr>
        <w:t xml:space="preserve"> in the implementation. This will reduce bias </w:t>
      </w:r>
      <w:r w:rsidR="00BD328B" w:rsidRPr="00913076">
        <w:rPr>
          <w:rStyle w:val="Bodytext1"/>
          <w:rFonts w:asciiTheme="minorHAnsi" w:hAnsiTheme="minorHAnsi" w:cstheme="minorHAnsi"/>
          <w:sz w:val="24"/>
          <w:szCs w:val="24"/>
        </w:rPr>
        <w:t>and</w:t>
      </w:r>
      <w:r w:rsidRPr="00913076">
        <w:rPr>
          <w:rStyle w:val="Bodytext1"/>
          <w:rFonts w:asciiTheme="minorHAnsi" w:hAnsiTheme="minorHAnsi" w:cstheme="minorHAnsi"/>
          <w:sz w:val="24"/>
          <w:szCs w:val="24"/>
        </w:rPr>
        <w:t xml:space="preserve"> allow for external resources to be utilized to ensure that the surveys will be implemented in a timely manner. The reliability of the data will be improved by implementing automatic data validation during surveys </w:t>
      </w:r>
      <w:r w:rsidR="00BD328B" w:rsidRPr="00913076">
        <w:rPr>
          <w:rStyle w:val="Bodytext1"/>
          <w:rFonts w:asciiTheme="minorHAnsi" w:hAnsiTheme="minorHAnsi" w:cstheme="minorHAnsi"/>
          <w:sz w:val="24"/>
          <w:szCs w:val="24"/>
        </w:rPr>
        <w:t>using</w:t>
      </w:r>
      <w:r w:rsidRPr="00913076">
        <w:rPr>
          <w:rStyle w:val="Bodytext1"/>
          <w:rFonts w:asciiTheme="minorHAnsi" w:hAnsiTheme="minorHAnsi" w:cstheme="minorHAnsi"/>
          <w:sz w:val="24"/>
          <w:szCs w:val="24"/>
        </w:rPr>
        <w:t xml:space="preserve"> question restrictions.</w:t>
      </w:r>
    </w:p>
    <w:p w14:paraId="6C472551" w14:textId="6588F5DF" w:rsidR="00312368" w:rsidRPr="00913076" w:rsidRDefault="005243FD" w:rsidP="00330C7E">
      <w:pPr>
        <w:pStyle w:val="Bodytext10"/>
        <w:spacing w:after="320" w:line="336" w:lineRule="auto"/>
        <w:jc w:val="both"/>
        <w:rPr>
          <w:rFonts w:asciiTheme="minorHAnsi" w:hAnsiTheme="minorHAnsi" w:cstheme="minorHAnsi"/>
          <w:sz w:val="24"/>
          <w:szCs w:val="24"/>
        </w:rPr>
      </w:pPr>
      <w:r w:rsidRPr="00913076">
        <w:rPr>
          <w:rStyle w:val="Bodytext1"/>
          <w:rFonts w:asciiTheme="minorHAnsi" w:hAnsiTheme="minorHAnsi" w:cstheme="minorHAnsi"/>
          <w:sz w:val="24"/>
          <w:szCs w:val="24"/>
        </w:rPr>
        <w:t xml:space="preserve">The EoR survey study may face several </w:t>
      </w:r>
      <w:r w:rsidR="00BD328B" w:rsidRPr="00913076">
        <w:rPr>
          <w:rStyle w:val="Bodytext1"/>
          <w:rFonts w:asciiTheme="minorHAnsi" w:hAnsiTheme="minorHAnsi" w:cstheme="minorHAnsi"/>
          <w:sz w:val="24"/>
          <w:szCs w:val="24"/>
        </w:rPr>
        <w:t>li</w:t>
      </w:r>
      <w:r w:rsidRPr="00913076">
        <w:rPr>
          <w:rStyle w:val="Bodytext1"/>
          <w:rFonts w:asciiTheme="minorHAnsi" w:hAnsiTheme="minorHAnsi" w:cstheme="minorHAnsi"/>
          <w:sz w:val="24"/>
          <w:szCs w:val="24"/>
        </w:rPr>
        <w:t xml:space="preserve">mitations. A primary limitation of coverage surveys is that they rely on self-reporting, and findings based on survey responses could be subject to recall and social desirability bias. Time will have elapsed from date of SMC administration to the date of the survey. Length of time between administration of SMC and coverage surveys may influence the severity of recall bias. Second, target populations used for calculation of administrative coverage will be estimated </w:t>
      </w:r>
      <w:r w:rsidR="00E17872" w:rsidRPr="00913076">
        <w:rPr>
          <w:rStyle w:val="Bodytext1"/>
          <w:rFonts w:asciiTheme="minorHAnsi" w:hAnsiTheme="minorHAnsi" w:cstheme="minorHAnsi"/>
          <w:sz w:val="24"/>
          <w:szCs w:val="24"/>
        </w:rPr>
        <w:t>based on</w:t>
      </w:r>
      <w:r w:rsidRPr="00913076">
        <w:rPr>
          <w:rStyle w:val="Bodytext1"/>
          <w:rFonts w:asciiTheme="minorHAnsi" w:hAnsiTheme="minorHAnsi" w:cstheme="minorHAnsi"/>
          <w:sz w:val="24"/>
          <w:szCs w:val="24"/>
        </w:rPr>
        <w:t xml:space="preserve"> official population figures, which may be based on outdated national census data and adjusted for projected population growth. At the same time, while the population growth factors employed may be inaccurate, estimates of population sizes may not adequately reflect population movements, for example due to migration. Administration of SPAQ</w:t>
      </w:r>
      <w:r w:rsidR="00C56AD9" w:rsidRPr="00913076">
        <w:rPr>
          <w:rStyle w:val="Bodytext1"/>
          <w:rFonts w:asciiTheme="minorHAnsi" w:hAnsiTheme="minorHAnsi" w:cstheme="minorHAnsi"/>
          <w:sz w:val="24"/>
          <w:szCs w:val="24"/>
        </w:rPr>
        <w:t xml:space="preserve"> </w:t>
      </w:r>
      <w:r w:rsidRPr="00913076">
        <w:rPr>
          <w:rStyle w:val="Bodytext1"/>
          <w:rFonts w:asciiTheme="minorHAnsi" w:hAnsiTheme="minorHAnsi" w:cstheme="minorHAnsi"/>
          <w:sz w:val="24"/>
          <w:szCs w:val="24"/>
        </w:rPr>
        <w:t xml:space="preserve">to ineligible children above the targeted age range may also lead to an overestimation of the proportion of children within the eligible age range who will receive SPAQ. The </w:t>
      </w:r>
      <w:r w:rsidR="00E17872" w:rsidRPr="00913076">
        <w:rPr>
          <w:rStyle w:val="Bodytext1"/>
          <w:rFonts w:asciiTheme="minorHAnsi" w:hAnsiTheme="minorHAnsi" w:cstheme="minorHAnsi"/>
          <w:sz w:val="24"/>
          <w:szCs w:val="24"/>
        </w:rPr>
        <w:t>age</w:t>
      </w:r>
      <w:r w:rsidRPr="00913076">
        <w:rPr>
          <w:rStyle w:val="Bodytext1"/>
          <w:rFonts w:asciiTheme="minorHAnsi" w:hAnsiTheme="minorHAnsi" w:cstheme="minorHAnsi"/>
          <w:sz w:val="24"/>
          <w:szCs w:val="24"/>
        </w:rPr>
        <w:t xml:space="preserve"> eligibility quality indicator will aim to provide an idea of the scale of SPAQ administration to children aged 5-10 years. Lastly, data collectors will be trained thoroughly on how to determine a child's age. Caregivers may be asked for proof of a child's date of birth, for example as stated on a vaccination card to confirm age.</w:t>
      </w:r>
    </w:p>
    <w:p w14:paraId="006F8A11" w14:textId="77777777" w:rsidR="00312368" w:rsidRPr="00913076" w:rsidRDefault="005243FD" w:rsidP="00330C7E">
      <w:pPr>
        <w:pStyle w:val="Bodytext10"/>
        <w:spacing w:after="760" w:line="240" w:lineRule="auto"/>
        <w:jc w:val="both"/>
        <w:rPr>
          <w:rFonts w:asciiTheme="minorHAnsi" w:hAnsiTheme="minorHAnsi" w:cstheme="minorHAnsi"/>
          <w:sz w:val="24"/>
          <w:szCs w:val="24"/>
        </w:rPr>
      </w:pPr>
      <w:r w:rsidRPr="00913076">
        <w:rPr>
          <w:rStyle w:val="Bodytext1"/>
          <w:rFonts w:asciiTheme="minorHAnsi" w:hAnsiTheme="minorHAnsi" w:cstheme="minorHAnsi"/>
          <w:b/>
          <w:bCs/>
          <w:sz w:val="24"/>
          <w:szCs w:val="24"/>
        </w:rPr>
        <w:t xml:space="preserve">Output: </w:t>
      </w:r>
      <w:r w:rsidRPr="00913076">
        <w:rPr>
          <w:rStyle w:val="Bodytext1"/>
          <w:rFonts w:asciiTheme="minorHAnsi" w:hAnsiTheme="minorHAnsi" w:cstheme="minorHAnsi"/>
          <w:sz w:val="24"/>
          <w:szCs w:val="24"/>
        </w:rPr>
        <w:t>An evaluation of the coverage and quality of SPAQ administration.</w:t>
      </w:r>
    </w:p>
    <w:p w14:paraId="5210688B" w14:textId="717783CA" w:rsidR="00312368" w:rsidRPr="00913076" w:rsidRDefault="005243FD" w:rsidP="00330C7E">
      <w:pPr>
        <w:pStyle w:val="Bodytext10"/>
        <w:spacing w:after="500" w:line="317" w:lineRule="auto"/>
        <w:jc w:val="both"/>
        <w:rPr>
          <w:rStyle w:val="Bodytext1"/>
          <w:rFonts w:asciiTheme="minorHAnsi" w:hAnsiTheme="minorHAnsi" w:cstheme="minorHAnsi"/>
          <w:sz w:val="24"/>
          <w:szCs w:val="24"/>
        </w:rPr>
      </w:pPr>
      <w:proofErr w:type="gramStart"/>
      <w:r w:rsidRPr="00913076">
        <w:rPr>
          <w:rStyle w:val="Bodytext1"/>
          <w:rFonts w:asciiTheme="minorHAnsi" w:hAnsiTheme="minorHAnsi" w:cstheme="minorHAnsi"/>
          <w:b/>
          <w:bCs/>
          <w:sz w:val="24"/>
          <w:szCs w:val="24"/>
        </w:rPr>
        <w:t>Implementation;</w:t>
      </w:r>
      <w:proofErr w:type="gramEnd"/>
      <w:r w:rsidRPr="00913076">
        <w:rPr>
          <w:rStyle w:val="Bodytext1"/>
          <w:rFonts w:asciiTheme="minorHAnsi" w:hAnsiTheme="minorHAnsi" w:cstheme="minorHAnsi"/>
          <w:b/>
          <w:bCs/>
          <w:sz w:val="24"/>
          <w:szCs w:val="24"/>
        </w:rPr>
        <w:t xml:space="preserve"> </w:t>
      </w:r>
      <w:r w:rsidRPr="00913076">
        <w:rPr>
          <w:rStyle w:val="Bodytext1"/>
          <w:rFonts w:asciiTheme="minorHAnsi" w:hAnsiTheme="minorHAnsi" w:cstheme="minorHAnsi"/>
          <w:sz w:val="24"/>
          <w:szCs w:val="24"/>
        </w:rPr>
        <w:t>The coverage survey will be conducted by an</w:t>
      </w:r>
      <w:r w:rsidR="00C56AD9" w:rsidRPr="00913076">
        <w:rPr>
          <w:rStyle w:val="Bodytext1"/>
          <w:rFonts w:asciiTheme="minorHAnsi" w:hAnsiTheme="minorHAnsi" w:cstheme="minorHAnsi"/>
          <w:sz w:val="24"/>
          <w:szCs w:val="24"/>
        </w:rPr>
        <w:t xml:space="preserve"> I</w:t>
      </w:r>
      <w:r w:rsidRPr="00913076">
        <w:rPr>
          <w:rStyle w:val="Bodytext1"/>
          <w:rFonts w:asciiTheme="minorHAnsi" w:hAnsiTheme="minorHAnsi" w:cstheme="minorHAnsi"/>
          <w:sz w:val="24"/>
          <w:szCs w:val="24"/>
        </w:rPr>
        <w:t xml:space="preserve">ndependent </w:t>
      </w:r>
      <w:r w:rsidR="00C56AD9" w:rsidRPr="00913076">
        <w:rPr>
          <w:rStyle w:val="Bodytext1"/>
          <w:rFonts w:asciiTheme="minorHAnsi" w:hAnsiTheme="minorHAnsi" w:cstheme="minorHAnsi"/>
          <w:sz w:val="24"/>
          <w:szCs w:val="24"/>
        </w:rPr>
        <w:t>R</w:t>
      </w:r>
      <w:r w:rsidRPr="00913076">
        <w:rPr>
          <w:rStyle w:val="Bodytext1"/>
          <w:rFonts w:asciiTheme="minorHAnsi" w:hAnsiTheme="minorHAnsi" w:cstheme="minorHAnsi"/>
          <w:sz w:val="24"/>
          <w:szCs w:val="24"/>
        </w:rPr>
        <w:t xml:space="preserve">esearch </w:t>
      </w:r>
      <w:r w:rsidR="00C56AD9" w:rsidRPr="00913076">
        <w:rPr>
          <w:rStyle w:val="Bodytext1"/>
          <w:rFonts w:asciiTheme="minorHAnsi" w:hAnsiTheme="minorHAnsi" w:cstheme="minorHAnsi"/>
          <w:sz w:val="24"/>
          <w:szCs w:val="24"/>
        </w:rPr>
        <w:t>Firm</w:t>
      </w:r>
      <w:r w:rsidRPr="00913076">
        <w:rPr>
          <w:rStyle w:val="Bodytext1"/>
          <w:rFonts w:asciiTheme="minorHAnsi" w:hAnsiTheme="minorHAnsi" w:cstheme="minorHAnsi"/>
          <w:sz w:val="24"/>
          <w:szCs w:val="24"/>
        </w:rPr>
        <w:t xml:space="preserve">, with technical oversight by </w:t>
      </w:r>
      <w:r w:rsidR="00C56AD9" w:rsidRPr="00913076">
        <w:rPr>
          <w:rStyle w:val="Bodytext1"/>
          <w:rFonts w:asciiTheme="minorHAnsi" w:hAnsiTheme="minorHAnsi" w:cstheme="minorHAnsi"/>
          <w:sz w:val="24"/>
          <w:szCs w:val="24"/>
        </w:rPr>
        <w:t>Malaria Consortium</w:t>
      </w:r>
      <w:r w:rsidRPr="00913076">
        <w:rPr>
          <w:rStyle w:val="Bodytext1"/>
          <w:rFonts w:asciiTheme="minorHAnsi" w:hAnsiTheme="minorHAnsi" w:cstheme="minorHAnsi"/>
          <w:sz w:val="24"/>
          <w:szCs w:val="24"/>
        </w:rPr>
        <w:t xml:space="preserve">. Lead researchers from </w:t>
      </w:r>
      <w:r w:rsidR="00C56AD9" w:rsidRPr="00913076">
        <w:rPr>
          <w:rStyle w:val="Bodytext1"/>
          <w:rFonts w:asciiTheme="minorHAnsi" w:hAnsiTheme="minorHAnsi" w:cstheme="minorHAnsi"/>
          <w:sz w:val="24"/>
          <w:szCs w:val="24"/>
        </w:rPr>
        <w:t xml:space="preserve">Independent Research Firm </w:t>
      </w:r>
      <w:r w:rsidRPr="00913076">
        <w:rPr>
          <w:rStyle w:val="Bodytext1"/>
          <w:rFonts w:asciiTheme="minorHAnsi" w:hAnsiTheme="minorHAnsi" w:cstheme="minorHAnsi"/>
          <w:sz w:val="24"/>
          <w:szCs w:val="24"/>
        </w:rPr>
        <w:t xml:space="preserve">will be briefed on the study and methods by Malaria Consortium staff. </w:t>
      </w:r>
      <w:r w:rsidR="00C56AD9" w:rsidRPr="00913076">
        <w:rPr>
          <w:rStyle w:val="Bodytext1"/>
          <w:rFonts w:asciiTheme="minorHAnsi" w:hAnsiTheme="minorHAnsi" w:cstheme="minorHAnsi"/>
          <w:sz w:val="24"/>
          <w:szCs w:val="24"/>
        </w:rPr>
        <w:t xml:space="preserve">They </w:t>
      </w:r>
      <w:r w:rsidRPr="00913076">
        <w:rPr>
          <w:rStyle w:val="Bodytext1"/>
          <w:rFonts w:asciiTheme="minorHAnsi" w:hAnsiTheme="minorHAnsi" w:cstheme="minorHAnsi"/>
          <w:sz w:val="24"/>
          <w:szCs w:val="24"/>
        </w:rPr>
        <w:t>will subsequently recruit and train data collectors, oversee data collection and analysis, and submit a final report to Malaria Consortium.</w:t>
      </w:r>
    </w:p>
    <w:p w14:paraId="5BA5629C" w14:textId="77777777" w:rsidR="002E4233" w:rsidRPr="00913076" w:rsidRDefault="002E4233" w:rsidP="00330C7E">
      <w:pPr>
        <w:pStyle w:val="Bodytext10"/>
        <w:spacing w:after="500" w:line="317" w:lineRule="auto"/>
        <w:jc w:val="both"/>
        <w:rPr>
          <w:rStyle w:val="Bodytext1"/>
          <w:rFonts w:asciiTheme="minorHAnsi" w:hAnsiTheme="minorHAnsi" w:cstheme="minorHAnsi"/>
          <w:sz w:val="24"/>
          <w:szCs w:val="24"/>
        </w:rPr>
      </w:pPr>
    </w:p>
    <w:p w14:paraId="04E2AE36" w14:textId="222C249E" w:rsidR="002E4233" w:rsidRPr="00913076" w:rsidRDefault="002E4233" w:rsidP="002E4233">
      <w:pPr>
        <w:pStyle w:val="Bodytext10"/>
        <w:spacing w:after="500" w:line="317" w:lineRule="auto"/>
        <w:jc w:val="center"/>
        <w:rPr>
          <w:rFonts w:asciiTheme="minorHAnsi" w:hAnsiTheme="minorHAnsi" w:cstheme="minorHAnsi"/>
          <w:sz w:val="24"/>
          <w:szCs w:val="24"/>
        </w:rPr>
      </w:pPr>
      <w:r w:rsidRPr="00913076">
        <w:rPr>
          <w:rStyle w:val="Bodytext1"/>
          <w:rFonts w:asciiTheme="minorHAnsi" w:hAnsiTheme="minorHAnsi" w:cstheme="minorHAnsi"/>
          <w:sz w:val="24"/>
          <w:szCs w:val="24"/>
        </w:rPr>
        <w:t>26</w:t>
      </w:r>
      <w:r w:rsidRPr="00913076">
        <w:rPr>
          <w:rStyle w:val="Bodytext1"/>
          <w:rFonts w:asciiTheme="minorHAnsi" w:hAnsiTheme="minorHAnsi" w:cstheme="minorHAnsi"/>
          <w:sz w:val="24"/>
          <w:szCs w:val="24"/>
          <w:vertAlign w:val="superscript"/>
        </w:rPr>
        <w:t>th</w:t>
      </w:r>
      <w:r w:rsidRPr="00913076">
        <w:rPr>
          <w:rStyle w:val="Bodytext1"/>
          <w:rFonts w:asciiTheme="minorHAnsi" w:hAnsiTheme="minorHAnsi" w:cstheme="minorHAnsi"/>
          <w:sz w:val="24"/>
          <w:szCs w:val="24"/>
        </w:rPr>
        <w:t xml:space="preserve"> </w:t>
      </w:r>
      <w:proofErr w:type="gramStart"/>
      <w:r w:rsidRPr="00913076">
        <w:rPr>
          <w:rStyle w:val="Bodytext1"/>
          <w:rFonts w:asciiTheme="minorHAnsi" w:hAnsiTheme="minorHAnsi" w:cstheme="minorHAnsi"/>
          <w:sz w:val="24"/>
          <w:szCs w:val="24"/>
        </w:rPr>
        <w:t>February,</w:t>
      </w:r>
      <w:proofErr w:type="gramEnd"/>
      <w:r w:rsidRPr="00913076">
        <w:rPr>
          <w:rStyle w:val="Bodytext1"/>
          <w:rFonts w:asciiTheme="minorHAnsi" w:hAnsiTheme="minorHAnsi" w:cstheme="minorHAnsi"/>
          <w:sz w:val="24"/>
          <w:szCs w:val="24"/>
        </w:rPr>
        <w:t xml:space="preserve"> 2024</w:t>
      </w:r>
    </w:p>
    <w:sectPr w:rsidR="002E4233" w:rsidRPr="00913076" w:rsidSect="004F180F">
      <w:headerReference w:type="default" r:id="rId10"/>
      <w:footerReference w:type="default" r:id="rId11"/>
      <w:pgSz w:w="11900" w:h="16840"/>
      <w:pgMar w:top="1365" w:right="1110" w:bottom="2285" w:left="16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6C362" w14:textId="77777777" w:rsidR="004F180F" w:rsidRDefault="004F180F">
      <w:r>
        <w:separator/>
      </w:r>
    </w:p>
  </w:endnote>
  <w:endnote w:type="continuationSeparator" w:id="0">
    <w:p w14:paraId="74095D3F" w14:textId="77777777" w:rsidR="004F180F" w:rsidRDefault="004F1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ans">
    <w:altName w:val="Arial"/>
    <w:panose1 w:val="00000000000000000000"/>
    <w:charset w:val="00"/>
    <w:family w:val="roman"/>
    <w:notTrueType/>
    <w:pitch w:val="default"/>
  </w:font>
  <w:font w:name="Liberation Serif">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C8395" w14:textId="77777777" w:rsidR="00312368" w:rsidRDefault="005243FD">
    <w:pPr>
      <w:spacing w:line="1" w:lineRule="exact"/>
    </w:pPr>
    <w:r>
      <w:rPr>
        <w:noProof/>
      </w:rPr>
      <mc:AlternateContent>
        <mc:Choice Requires="wps">
          <w:drawing>
            <wp:anchor distT="0" distB="0" distL="0" distR="0" simplePos="0" relativeHeight="62914700" behindDoc="1" locked="0" layoutInCell="1" allowOverlap="1" wp14:anchorId="67C963C4" wp14:editId="34053C8E">
              <wp:simplePos x="0" y="0"/>
              <wp:positionH relativeFrom="page">
                <wp:posOffset>5984240</wp:posOffset>
              </wp:positionH>
              <wp:positionV relativeFrom="page">
                <wp:posOffset>9337040</wp:posOffset>
              </wp:positionV>
              <wp:extent cx="713105" cy="121920"/>
              <wp:effectExtent l="0" t="0" r="0" b="0"/>
              <wp:wrapNone/>
              <wp:docPr id="79" name="Shape 79"/>
              <wp:cNvGraphicFramePr/>
              <a:graphic xmlns:a="http://schemas.openxmlformats.org/drawingml/2006/main">
                <a:graphicData uri="http://schemas.microsoft.com/office/word/2010/wordprocessingShape">
                  <wps:wsp>
                    <wps:cNvSpPr txBox="1"/>
                    <wps:spPr>
                      <a:xfrm>
                        <a:off x="0" y="0"/>
                        <a:ext cx="713105" cy="121920"/>
                      </a:xfrm>
                      <a:prstGeom prst="rect">
                        <a:avLst/>
                      </a:prstGeom>
                      <a:noFill/>
                    </wps:spPr>
                    <wps:txbx>
                      <w:txbxContent>
                        <w:p w14:paraId="4C4A5D90" w14:textId="3ECCBDCC" w:rsidR="00312368" w:rsidRDefault="005243FD">
                          <w:pPr>
                            <w:pStyle w:val="Headerorfooter10"/>
                            <w:jc w:val="left"/>
                          </w:pPr>
                          <w:r>
                            <w:rPr>
                              <w:rStyle w:val="Headerorfooter1"/>
                              <w:color w:val="000000"/>
                            </w:rPr>
                            <w:t xml:space="preserve">Page </w:t>
                          </w:r>
                          <w:r>
                            <w:fldChar w:fldCharType="begin"/>
                          </w:r>
                          <w:r>
                            <w:instrText xml:space="preserve"> PAGE \* MERGEFORMAT </w:instrText>
                          </w:r>
                          <w:r>
                            <w:fldChar w:fldCharType="separate"/>
                          </w:r>
                          <w:r>
                            <w:rPr>
                              <w:rStyle w:val="Headerorfooter1"/>
                              <w:b/>
                              <w:bCs/>
                              <w:color w:val="000000"/>
                            </w:rPr>
                            <w:t>#</w:t>
                          </w:r>
                          <w:r>
                            <w:rPr>
                              <w:rStyle w:val="Headerorfooter1"/>
                              <w:b/>
                              <w:bCs/>
                              <w:color w:val="000000"/>
                            </w:rPr>
                            <w:fldChar w:fldCharType="end"/>
                          </w:r>
                          <w:r>
                            <w:rPr>
                              <w:rStyle w:val="Headerorfooter1"/>
                              <w:b/>
                              <w:bCs/>
                              <w:color w:val="000000"/>
                            </w:rPr>
                            <w:t xml:space="preserve"> </w:t>
                          </w:r>
                          <w:r>
                            <w:rPr>
                              <w:rStyle w:val="Headerorfooter1"/>
                              <w:color w:val="000000"/>
                            </w:rPr>
                            <w:t xml:space="preserve">of </w:t>
                          </w:r>
                          <w:r w:rsidR="00C56AD9">
                            <w:rPr>
                              <w:rStyle w:val="Headerorfooter1"/>
                              <w:color w:val="000000"/>
                            </w:rPr>
                            <w:t>13</w:t>
                          </w:r>
                        </w:p>
                      </w:txbxContent>
                    </wps:txbx>
                    <wps:bodyPr wrap="none" lIns="0" tIns="0" rIns="0" bIns="0">
                      <a:spAutoFit/>
                    </wps:bodyPr>
                  </wps:wsp>
                </a:graphicData>
              </a:graphic>
            </wp:anchor>
          </w:drawing>
        </mc:Choice>
        <mc:Fallback xmlns:w16du="http://schemas.microsoft.com/office/word/2023/wordml/word16du">
          <w:pict>
            <v:shapetype w14:anchorId="67C963C4" id="_x0000_t202" coordsize="21600,21600" o:spt="202" path="m,l,21600r21600,l21600,xe">
              <v:stroke joinstyle="miter"/>
              <v:path gradientshapeok="t" o:connecttype="rect"/>
            </v:shapetype>
            <v:shape id="Shape 79" o:spid="_x0000_s1027" type="#_x0000_t202" style="position:absolute;margin-left:471.2pt;margin-top:735.2pt;width:56.15pt;height:9.6pt;z-index:-4404017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" filled="f" stroked="f">
              <v:textbox style="mso-fit-shape-to-text:t" inset="0,0,0,0">
                <w:txbxContent>
                  <w:p w14:paraId="4C4A5D90" w14:textId="3ECCBDCC" w:rsidR="00312368" w:rsidRDefault="005243FD">
                    <w:pPr>
                      <w:pStyle w:val="Headerorfooter10"/>
                      <w:jc w:val="left"/>
                    </w:pPr>
                    <w:r>
                      <w:rPr>
                        <w:rStyle w:val="Headerorfooter1"/>
                        <w:color w:val="000000"/>
                      </w:rPr>
                      <w:t xml:space="preserve">Page </w:t>
                    </w:r>
                    <w:r>
                      <w:fldChar w:fldCharType="begin"/>
                    </w:r>
                    <w:r>
                      <w:instrText xml:space="preserve"> PAGE \* MERGEFORMAT </w:instrText>
                    </w:r>
                    <w:r>
                      <w:fldChar w:fldCharType="separate"/>
                    </w:r>
                    <w:r>
                      <w:rPr>
                        <w:rStyle w:val="Headerorfooter1"/>
                        <w:b/>
                        <w:bCs/>
                        <w:color w:val="000000"/>
                      </w:rPr>
                      <w:t>#</w:t>
                    </w:r>
                    <w:r>
                      <w:rPr>
                        <w:rStyle w:val="Headerorfooter1"/>
                        <w:b/>
                        <w:bCs/>
                        <w:color w:val="000000"/>
                      </w:rPr>
                      <w:fldChar w:fldCharType="end"/>
                    </w:r>
                    <w:r>
                      <w:rPr>
                        <w:rStyle w:val="Headerorfooter1"/>
                        <w:b/>
                        <w:bCs/>
                        <w:color w:val="000000"/>
                      </w:rPr>
                      <w:t xml:space="preserve"> </w:t>
                    </w:r>
                    <w:r>
                      <w:rPr>
                        <w:rStyle w:val="Headerorfooter1"/>
                        <w:color w:val="000000"/>
                      </w:rPr>
                      <w:t xml:space="preserve">of </w:t>
                    </w:r>
                    <w:r w:rsidR="00C56AD9">
                      <w:rPr>
                        <w:rStyle w:val="Headerorfooter1"/>
                        <w:color w:val="000000"/>
                      </w:rPr>
                      <w:t>13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DD1A8" w14:textId="77777777" w:rsidR="004F180F" w:rsidRDefault="004F180F"/>
  </w:footnote>
  <w:footnote w:type="continuationSeparator" w:id="0">
    <w:p w14:paraId="3B07A5E2" w14:textId="77777777" w:rsidR="004F180F" w:rsidRDefault="004F18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DEC56" w14:textId="77777777" w:rsidR="00312368" w:rsidRDefault="005243FD">
    <w:pPr>
      <w:spacing w:line="1" w:lineRule="exact"/>
    </w:pPr>
    <w:r>
      <w:rPr>
        <w:noProof/>
      </w:rPr>
      <mc:AlternateContent>
        <mc:Choice Requires="wps">
          <w:drawing>
            <wp:anchor distT="0" distB="0" distL="0" distR="0" simplePos="0" relativeHeight="62914698" behindDoc="1" locked="0" layoutInCell="1" allowOverlap="1" wp14:anchorId="6F33B07B" wp14:editId="2D065A77">
              <wp:simplePos x="0" y="0"/>
              <wp:positionH relativeFrom="page">
                <wp:posOffset>4216400</wp:posOffset>
              </wp:positionH>
              <wp:positionV relativeFrom="page">
                <wp:posOffset>153670</wp:posOffset>
              </wp:positionV>
              <wp:extent cx="2493010" cy="429895"/>
              <wp:effectExtent l="0" t="0" r="0" b="0"/>
              <wp:wrapNone/>
              <wp:docPr id="77" name="Shape 77"/>
              <wp:cNvGraphicFramePr/>
              <a:graphic xmlns:a="http://schemas.openxmlformats.org/drawingml/2006/main">
                <a:graphicData uri="http://schemas.microsoft.com/office/word/2010/wordprocessingShape">
                  <wps:wsp>
                    <wps:cNvSpPr txBox="1"/>
                    <wps:spPr>
                      <a:xfrm>
                        <a:off x="0" y="0"/>
                        <a:ext cx="2493010" cy="429895"/>
                      </a:xfrm>
                      <a:prstGeom prst="rect">
                        <a:avLst/>
                      </a:prstGeom>
                      <a:noFill/>
                    </wps:spPr>
                    <wps:txbx>
                      <w:txbxContent>
                        <w:p w14:paraId="0F7DCFD8" w14:textId="77777777" w:rsidR="00312368" w:rsidRDefault="005243FD">
                          <w:pPr>
                            <w:pStyle w:val="Headerorfooter10"/>
                            <w:jc w:val="left"/>
                            <w:rPr>
                              <w:sz w:val="44"/>
                              <w:szCs w:val="44"/>
                            </w:rPr>
                          </w:pPr>
                          <w:r>
                            <w:rPr>
                              <w:rStyle w:val="Headerorfooter1"/>
                              <w:sz w:val="44"/>
                              <w:szCs w:val="44"/>
                            </w:rPr>
                            <w:t xml:space="preserve">malaria </w:t>
                          </w:r>
                          <w:r>
                            <w:rPr>
                              <w:rStyle w:val="Headerorfooter1"/>
                              <w:b/>
                              <w:bCs/>
                              <w:sz w:val="44"/>
                              <w:szCs w:val="44"/>
                            </w:rPr>
                            <w:t>consortium</w:t>
                          </w:r>
                        </w:p>
                        <w:p w14:paraId="689B3C40" w14:textId="77777777" w:rsidR="00312368" w:rsidRDefault="005243FD">
                          <w:pPr>
                            <w:pStyle w:val="Headerorfooter10"/>
                            <w:jc w:val="left"/>
                          </w:pPr>
                          <w:r>
                            <w:rPr>
                              <w:rStyle w:val="Headerorfooter1"/>
                            </w:rPr>
                            <w:t>d/</w:t>
                          </w:r>
                          <w:proofErr w:type="spellStart"/>
                          <w:r>
                            <w:rPr>
                              <w:rStyle w:val="Headerorfooter1"/>
                            </w:rPr>
                            <w:t>sease</w:t>
                          </w:r>
                          <w:proofErr w:type="spellEnd"/>
                          <w:r>
                            <w:rPr>
                              <w:rStyle w:val="Headerorfooter1"/>
                            </w:rPr>
                            <w:t xml:space="preserve"> </w:t>
                          </w:r>
                          <w:r>
                            <w:rPr>
                              <w:rStyle w:val="Headerorfooter1"/>
                              <w:i/>
                              <w:iCs/>
                            </w:rPr>
                            <w:t>control, better health</w:t>
                          </w:r>
                        </w:p>
                      </w:txbxContent>
                    </wps:txbx>
                    <wps:bodyPr wrap="none" lIns="0" tIns="0" rIns="0" bIns="0">
                      <a:spAutoFit/>
                    </wps:bodyPr>
                  </wps:wsp>
                </a:graphicData>
              </a:graphic>
            </wp:anchor>
          </w:drawing>
        </mc:Choice>
        <mc:Fallback xmlns:w16du="http://schemas.microsoft.com/office/word/2023/wordml/word16du">
          <w:pict>
            <v:shapetype w14:anchorId="6F33B07B" id="_x0000_t202" coordsize="21600,21600" o:spt="202" path="m,l,21600r21600,l21600,xe">
              <v:stroke joinstyle="miter"/>
              <v:path gradientshapeok="t" o:connecttype="rect"/>
            </v:shapetype>
            <v:shape id="Shape 77" o:spid="_x0000_s1026" type="#_x0000_t202" style="position:absolute;margin-left:332pt;margin-top:12.1pt;width:196.3pt;height:33.85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" filled="f" stroked="f">
              <v:textbox style="mso-fit-shape-to-text:t" inset="0,0,0,0">
                <w:txbxContent>
                  <w:p w14:paraId="0F7DCFD8" w14:textId="77777777" w:rsidR="00312368" w:rsidRDefault="005243FD">
                    <w:pPr>
                      <w:pStyle w:val="Headerorfooter10"/>
                      <w:jc w:val="left"/>
                      <w:rPr>
                        <w:sz w:val="44"/>
                        <w:szCs w:val="44"/>
                      </w:rPr>
                    </w:pPr>
                    <w:r>
                      <w:rPr>
                        <w:rStyle w:val="Headerorfooter1"/>
                        <w:sz w:val="44"/>
                        <w:szCs w:val="44"/>
                      </w:rPr>
                      <w:t xml:space="preserve">malaria </w:t>
                    </w:r>
                    <w:r>
                      <w:rPr>
                        <w:rStyle w:val="Headerorfooter1"/>
                        <w:b/>
                        <w:bCs/>
                        <w:sz w:val="44"/>
                        <w:szCs w:val="44"/>
                      </w:rPr>
                      <w:t>consortium</w:t>
                    </w:r>
                  </w:p>
                  <w:p w14:paraId="689B3C40" w14:textId="77777777" w:rsidR="00312368" w:rsidRDefault="005243FD">
                    <w:pPr>
                      <w:pStyle w:val="Headerorfooter10"/>
                      <w:jc w:val="left"/>
                    </w:pPr>
                    <w:r>
                      <w:rPr>
                        <w:rStyle w:val="Headerorfooter1"/>
                      </w:rPr>
                      <w:t>d/</w:t>
                    </w:r>
                    <w:proofErr w:type="spellStart"/>
                    <w:r>
                      <w:rPr>
                        <w:rStyle w:val="Headerorfooter1"/>
                      </w:rPr>
                      <w:t>sease</w:t>
                    </w:r>
                    <w:proofErr w:type="spellEnd"/>
                    <w:r>
                      <w:rPr>
                        <w:rStyle w:val="Headerorfooter1"/>
                      </w:rPr>
                      <w:t xml:space="preserve"> </w:t>
                    </w:r>
                    <w:r>
                      <w:rPr>
                        <w:rStyle w:val="Headerorfooter1"/>
                        <w:i/>
                        <w:iCs/>
                      </w:rPr>
                      <w:t>control, better health</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0B9D"/>
    <w:multiLevelType w:val="multilevel"/>
    <w:tmpl w:val="6986D2CC"/>
    <w:lvl w:ilvl="0">
      <w:start w:val="1"/>
      <w:numFmt w:val="bullet"/>
      <w:lvlText w:val="•"/>
      <w:lvlJc w:val="left"/>
      <w:rPr>
        <w:rFonts w:ascii="Liberation Sans" w:eastAsia="Liberation Sans" w:hAnsi="Liberation Sans" w:cs="Liberation Sans"/>
        <w:b w:val="0"/>
        <w:bCs w:val="0"/>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D74397"/>
    <w:multiLevelType w:val="multilevel"/>
    <w:tmpl w:val="6028441C"/>
    <w:lvl w:ilvl="0">
      <w:start w:val="1"/>
      <w:numFmt w:val="lowerLetter"/>
      <w:lvlText w:val="%1."/>
      <w:lvlJc w:val="left"/>
      <w:rPr>
        <w:rFonts w:ascii="Liberation Sans" w:eastAsia="Liberation Sans" w:hAnsi="Liberation Sans" w:cs="Liberation Sans"/>
        <w:b w:val="0"/>
        <w:bCs w:val="0"/>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CC7355"/>
    <w:multiLevelType w:val="multilevel"/>
    <w:tmpl w:val="C2606F14"/>
    <w:lvl w:ilvl="0">
      <w:start w:val="1"/>
      <w:numFmt w:val="lowerLetter"/>
      <w:lvlText w:val="%1)"/>
      <w:lvlJc w:val="left"/>
      <w:rPr>
        <w:rFonts w:ascii="Liberation Sans" w:eastAsia="Liberation Sans" w:hAnsi="Liberation Sans" w:cs="Liberation Sans"/>
        <w:b w:val="0"/>
        <w:bCs w:val="0"/>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660FEF"/>
    <w:multiLevelType w:val="multilevel"/>
    <w:tmpl w:val="0B0E91A6"/>
    <w:lvl w:ilvl="0">
      <w:start w:val="1"/>
      <w:numFmt w:val="bullet"/>
      <w:lvlText w:val="•"/>
      <w:lvlJc w:val="left"/>
      <w:rPr>
        <w:rFonts w:ascii="Liberation Sans" w:eastAsia="Liberation Sans" w:hAnsi="Liberation Sans" w:cs="Liberation Sans"/>
        <w:b w:val="0"/>
        <w:bCs w:val="0"/>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AD7D40"/>
    <w:multiLevelType w:val="multilevel"/>
    <w:tmpl w:val="CD025F5E"/>
    <w:lvl w:ilvl="0">
      <w:start w:val="1"/>
      <w:numFmt w:val="bullet"/>
      <w:lvlText w:val="•"/>
      <w:lvlJc w:val="left"/>
      <w:rPr>
        <w:rFonts w:ascii="Liberation Sans" w:eastAsia="Liberation Sans" w:hAnsi="Liberation Sans" w:cs="Liberation Sans"/>
        <w:b w:val="0"/>
        <w:bCs w:val="0"/>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C41847"/>
    <w:multiLevelType w:val="multilevel"/>
    <w:tmpl w:val="097665B0"/>
    <w:lvl w:ilvl="0">
      <w:start w:val="1"/>
      <w:numFmt w:val="decimal"/>
      <w:lvlText w:val="%1"/>
      <w:lvlJc w:val="left"/>
      <w:rPr>
        <w:rFonts w:ascii="Liberation Sans" w:eastAsia="Liberation Sans" w:hAnsi="Liberation Sans" w:cs="Liberation Sans"/>
        <w:b/>
        <w:bCs/>
        <w:i w:val="0"/>
        <w:iCs w:val="0"/>
        <w:smallCaps w:val="0"/>
        <w:strike w:val="0"/>
        <w:color w:val="000000"/>
        <w:spacing w:val="0"/>
        <w:w w:val="100"/>
        <w:position w:val="0"/>
        <w:sz w:val="18"/>
        <w:szCs w:val="18"/>
        <w:u w:val="none"/>
        <w:shd w:val="clear" w:color="auto" w:fill="auto"/>
        <w:lang w:val="en-US" w:eastAsia="en-US" w:bidi="en-US"/>
      </w:rPr>
    </w:lvl>
    <w:lvl w:ilvl="1">
      <w:start w:val="1"/>
      <w:numFmt w:val="decimal"/>
      <w:lvlText w:val="%1.%2"/>
      <w:lvlJc w:val="left"/>
      <w:rPr>
        <w:rFonts w:ascii="Liberation Sans" w:eastAsia="Liberation Sans" w:hAnsi="Liberation Sans" w:cs="Liberation Sans"/>
        <w:b w:val="0"/>
        <w:bCs w:val="0"/>
        <w:i w:val="0"/>
        <w:iCs w:val="0"/>
        <w:smallCaps w:val="0"/>
        <w:strike w:val="0"/>
        <w:color w:val="000000"/>
        <w:spacing w:val="0"/>
        <w:w w:val="100"/>
        <w:position w:val="0"/>
        <w:sz w:val="18"/>
        <w:szCs w:val="1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FF57E5A"/>
    <w:multiLevelType w:val="multilevel"/>
    <w:tmpl w:val="40E62C44"/>
    <w:lvl w:ilvl="0">
      <w:start w:val="2"/>
      <w:numFmt w:val="decimal"/>
      <w:lvlText w:val="%1."/>
      <w:lvlJc w:val="left"/>
      <w:rPr>
        <w:rFonts w:ascii="Liberation Sans" w:eastAsia="Liberation Sans" w:hAnsi="Liberation Sans" w:cs="Liberation Sans"/>
        <w:b w:val="0"/>
        <w:bCs w:val="0"/>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266400A"/>
    <w:multiLevelType w:val="multilevel"/>
    <w:tmpl w:val="0712A3B8"/>
    <w:lvl w:ilvl="0">
      <w:start w:val="1"/>
      <w:numFmt w:val="decimal"/>
      <w:lvlText w:val="%1."/>
      <w:lvlJc w:val="left"/>
      <w:rPr>
        <w:rFonts w:ascii="Liberation Sans" w:eastAsia="Liberation Sans" w:hAnsi="Liberation Sans" w:cs="Liberation Sans"/>
        <w:b w:val="0"/>
        <w:bCs w:val="0"/>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5D26946"/>
    <w:multiLevelType w:val="multilevel"/>
    <w:tmpl w:val="EE40CC50"/>
    <w:lvl w:ilvl="0">
      <w:start w:val="1"/>
      <w:numFmt w:val="bullet"/>
      <w:lvlText w:val="•"/>
      <w:lvlJc w:val="left"/>
      <w:rPr>
        <w:rFonts w:ascii="Liberation Sans" w:eastAsia="Liberation Sans" w:hAnsi="Liberation Sans" w:cs="Liberation Sans"/>
        <w:b w:val="0"/>
        <w:bCs w:val="0"/>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67A2D5C"/>
    <w:multiLevelType w:val="multilevel"/>
    <w:tmpl w:val="C778FFBA"/>
    <w:lvl w:ilvl="0">
      <w:start w:val="1"/>
      <w:numFmt w:val="bullet"/>
      <w:lvlText w:val="•"/>
      <w:lvlJc w:val="left"/>
      <w:rPr>
        <w:rFonts w:ascii="Liberation Sans" w:eastAsia="Liberation Sans" w:hAnsi="Liberation Sans" w:cs="Liberation Sans"/>
        <w:b/>
        <w:bCs/>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7EF7971"/>
    <w:multiLevelType w:val="multilevel"/>
    <w:tmpl w:val="730CF5D8"/>
    <w:lvl w:ilvl="0">
      <w:start w:val="5"/>
      <w:numFmt w:val="decimal"/>
      <w:lvlText w:val="%1"/>
      <w:lvlJc w:val="left"/>
    </w:lvl>
    <w:lvl w:ilvl="1">
      <w:start w:val="1"/>
      <w:numFmt w:val="decimal"/>
      <w:lvlText w:val="%1.%2"/>
      <w:lvlJc w:val="left"/>
      <w:rPr>
        <w:rFonts w:ascii="Liberation Sans" w:eastAsia="Liberation Sans" w:hAnsi="Liberation Sans" w:cs="Liberation Sans"/>
        <w:b w:val="0"/>
        <w:bCs w:val="0"/>
        <w:i w:val="0"/>
        <w:iCs w:val="0"/>
        <w:smallCaps w:val="0"/>
        <w:strike w:val="0"/>
        <w:color w:val="398ACE"/>
        <w:spacing w:val="0"/>
        <w:w w:val="100"/>
        <w:position w:val="0"/>
        <w:sz w:val="18"/>
        <w:szCs w:val="1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9BF10B2"/>
    <w:multiLevelType w:val="multilevel"/>
    <w:tmpl w:val="531820E4"/>
    <w:lvl w:ilvl="0">
      <w:start w:val="6"/>
      <w:numFmt w:val="decimal"/>
      <w:lvlText w:val="%1,"/>
      <w:lvlJc w:val="left"/>
      <w:rPr>
        <w:rFonts w:ascii="Liberation Sans" w:eastAsia="Liberation Sans" w:hAnsi="Liberation Sans" w:cs="Liberation Sans"/>
        <w:b w:val="0"/>
        <w:bCs w:val="0"/>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D510489"/>
    <w:multiLevelType w:val="multilevel"/>
    <w:tmpl w:val="5B6A8022"/>
    <w:lvl w:ilvl="0">
      <w:start w:val="1"/>
      <w:numFmt w:val="bullet"/>
      <w:lvlText w:val="•"/>
      <w:lvlJc w:val="left"/>
      <w:rPr>
        <w:rFonts w:ascii="Liberation Sans" w:eastAsia="Liberation Sans" w:hAnsi="Liberation Sans" w:cs="Liberation Sans"/>
        <w:b w:val="0"/>
        <w:bCs w:val="0"/>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F822BDE"/>
    <w:multiLevelType w:val="multilevel"/>
    <w:tmpl w:val="51B0312C"/>
    <w:lvl w:ilvl="0">
      <w:start w:val="1"/>
      <w:numFmt w:val="decimal"/>
      <w:lvlText w:val="%1)"/>
      <w:lvlJc w:val="left"/>
      <w:rPr>
        <w:rFonts w:ascii="Liberation Serif" w:eastAsia="Liberation Serif" w:hAnsi="Liberation Serif" w:cs="Liberation Serif"/>
        <w:b w:val="0"/>
        <w:bCs w:val="0"/>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9410111"/>
    <w:multiLevelType w:val="multilevel"/>
    <w:tmpl w:val="558EB96C"/>
    <w:lvl w:ilvl="0">
      <w:start w:val="1"/>
      <w:numFmt w:val="bullet"/>
      <w:lvlText w:val="•"/>
      <w:lvlJc w:val="left"/>
      <w:rPr>
        <w:rFonts w:ascii="Liberation Sans" w:eastAsia="Liberation Sans" w:hAnsi="Liberation Sans" w:cs="Liberation Sans"/>
        <w:b w:val="0"/>
        <w:bCs w:val="0"/>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B6356D7"/>
    <w:multiLevelType w:val="multilevel"/>
    <w:tmpl w:val="6E400F14"/>
    <w:lvl w:ilvl="0">
      <w:start w:val="1"/>
      <w:numFmt w:val="decimal"/>
      <w:lvlText w:val="%1."/>
      <w:lvlJc w:val="left"/>
      <w:rPr>
        <w:rFonts w:ascii="Liberation Sans" w:eastAsia="Liberation Sans" w:hAnsi="Liberation Sans" w:cs="Liberation Sans"/>
        <w:b/>
        <w:bCs/>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F83164D"/>
    <w:multiLevelType w:val="multilevel"/>
    <w:tmpl w:val="87FEC0E4"/>
    <w:lvl w:ilvl="0">
      <w:start w:val="1"/>
      <w:numFmt w:val="bullet"/>
      <w:lvlText w:val="•"/>
      <w:lvlJc w:val="left"/>
      <w:rPr>
        <w:rFonts w:ascii="Liberation Sans" w:eastAsia="Liberation Sans" w:hAnsi="Liberation Sans" w:cs="Liberation Sans"/>
        <w:b w:val="0"/>
        <w:bCs w:val="0"/>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4601BC6"/>
    <w:multiLevelType w:val="multilevel"/>
    <w:tmpl w:val="68E22592"/>
    <w:lvl w:ilvl="0">
      <w:start w:val="1"/>
      <w:numFmt w:val="bullet"/>
      <w:lvlText w:val="•"/>
      <w:lvlJc w:val="left"/>
      <w:rPr>
        <w:rFonts w:ascii="Liberation Sans" w:eastAsia="Liberation Sans" w:hAnsi="Liberation Sans" w:cs="Liberation Sans"/>
        <w:b w:val="0"/>
        <w:bCs w:val="0"/>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4712BA3"/>
    <w:multiLevelType w:val="multilevel"/>
    <w:tmpl w:val="6CECF0B6"/>
    <w:lvl w:ilvl="0">
      <w:start w:val="1"/>
      <w:numFmt w:val="lowerLetter"/>
      <w:lvlText w:val="%1)"/>
      <w:lvlJc w:val="left"/>
      <w:rPr>
        <w:rFonts w:ascii="Liberation Sans" w:eastAsia="Liberation Sans" w:hAnsi="Liberation Sans" w:cs="Liberation Sans"/>
        <w:b w:val="0"/>
        <w:bCs w:val="0"/>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52F3BCA"/>
    <w:multiLevelType w:val="multilevel"/>
    <w:tmpl w:val="F2AAE556"/>
    <w:lvl w:ilvl="0">
      <w:start w:val="1"/>
      <w:numFmt w:val="decimal"/>
      <w:lvlText w:val="%1)"/>
      <w:lvlJc w:val="left"/>
      <w:rPr>
        <w:rFonts w:ascii="Liberation Sans" w:eastAsia="Liberation Sans" w:hAnsi="Liberation Sans" w:cs="Liberation Sans"/>
        <w:b w:val="0"/>
        <w:bCs w:val="0"/>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8DF32F5"/>
    <w:multiLevelType w:val="multilevel"/>
    <w:tmpl w:val="4866C252"/>
    <w:lvl w:ilvl="0">
      <w:start w:val="1"/>
      <w:numFmt w:val="lowerLetter"/>
      <w:lvlText w:val="%1)"/>
      <w:lvlJc w:val="left"/>
      <w:rPr>
        <w:rFonts w:ascii="Liberation Sans" w:eastAsia="Liberation Sans" w:hAnsi="Liberation Sans" w:cs="Liberation Sans"/>
        <w:b w:val="0"/>
        <w:bCs w:val="0"/>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BE356FC"/>
    <w:multiLevelType w:val="multilevel"/>
    <w:tmpl w:val="83E2E472"/>
    <w:lvl w:ilvl="0">
      <w:start w:val="1"/>
      <w:numFmt w:val="decimal"/>
      <w:lvlText w:val="%1."/>
      <w:lvlJc w:val="left"/>
      <w:rPr>
        <w:rFonts w:ascii="Liberation Sans" w:eastAsia="Liberation Sans" w:hAnsi="Liberation Sans" w:cs="Liberation Sans"/>
        <w:b w:val="0"/>
        <w:bCs w:val="0"/>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4D175B2"/>
    <w:multiLevelType w:val="hybridMultilevel"/>
    <w:tmpl w:val="75E6678A"/>
    <w:lvl w:ilvl="0" w:tplc="8334EC22">
      <w:start w:val="1"/>
      <w:numFmt w:val="bullet"/>
      <w:lvlText w:val=""/>
      <w:lvlJc w:val="left"/>
      <w:pPr>
        <w:ind w:left="1430" w:hanging="360"/>
      </w:pPr>
      <w:rPr>
        <w:rFonts w:ascii="Symbol" w:hAnsi="Symbol" w:hint="default"/>
      </w:rPr>
    </w:lvl>
    <w:lvl w:ilvl="1" w:tplc="040C0003" w:tentative="1">
      <w:start w:val="1"/>
      <w:numFmt w:val="bullet"/>
      <w:lvlText w:val="o"/>
      <w:lvlJc w:val="left"/>
      <w:pPr>
        <w:ind w:left="2150" w:hanging="360"/>
      </w:pPr>
      <w:rPr>
        <w:rFonts w:ascii="Courier New" w:hAnsi="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23" w15:restartNumberingAfterBreak="0">
    <w:nsid w:val="681C47FA"/>
    <w:multiLevelType w:val="multilevel"/>
    <w:tmpl w:val="F80EEBD0"/>
    <w:lvl w:ilvl="0">
      <w:start w:val="1"/>
      <w:numFmt w:val="decimal"/>
      <w:lvlText w:val="%1)"/>
      <w:lvlJc w:val="left"/>
      <w:rPr>
        <w:rFonts w:ascii="Liberation Sans" w:eastAsia="Liberation Sans" w:hAnsi="Liberation Sans" w:cs="Liberation Sans"/>
        <w:b w:val="0"/>
        <w:bCs w:val="0"/>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9EB1CC6"/>
    <w:multiLevelType w:val="multilevel"/>
    <w:tmpl w:val="F8AEE59A"/>
    <w:lvl w:ilvl="0">
      <w:start w:val="1"/>
      <w:numFmt w:val="bullet"/>
      <w:lvlText w:val="•"/>
      <w:lvlJc w:val="left"/>
      <w:rPr>
        <w:rFonts w:ascii="Liberation Sans" w:eastAsia="Liberation Sans" w:hAnsi="Liberation Sans" w:cs="Liberation Sans"/>
        <w:b w:val="0"/>
        <w:bCs w:val="0"/>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E7B14C2"/>
    <w:multiLevelType w:val="multilevel"/>
    <w:tmpl w:val="1D602D96"/>
    <w:lvl w:ilvl="0">
      <w:start w:val="1"/>
      <w:numFmt w:val="bullet"/>
      <w:lvlText w:val="•"/>
      <w:lvlJc w:val="left"/>
      <w:rPr>
        <w:rFonts w:ascii="Liberation Sans" w:eastAsia="Liberation Sans" w:hAnsi="Liberation Sans" w:cs="Liberation Sans"/>
        <w:b w:val="0"/>
        <w:bCs w:val="0"/>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52733717">
    <w:abstractNumId w:val="21"/>
  </w:num>
  <w:num w:numId="2" w16cid:durableId="843397388">
    <w:abstractNumId w:val="7"/>
  </w:num>
  <w:num w:numId="3" w16cid:durableId="917981995">
    <w:abstractNumId w:val="16"/>
  </w:num>
  <w:num w:numId="4" w16cid:durableId="481316238">
    <w:abstractNumId w:val="6"/>
  </w:num>
  <w:num w:numId="5" w16cid:durableId="534078771">
    <w:abstractNumId w:val="14"/>
  </w:num>
  <w:num w:numId="6" w16cid:durableId="1135637948">
    <w:abstractNumId w:val="25"/>
  </w:num>
  <w:num w:numId="7" w16cid:durableId="77288125">
    <w:abstractNumId w:val="17"/>
  </w:num>
  <w:num w:numId="8" w16cid:durableId="1492133110">
    <w:abstractNumId w:val="11"/>
  </w:num>
  <w:num w:numId="9" w16cid:durableId="861824955">
    <w:abstractNumId w:val="1"/>
  </w:num>
  <w:num w:numId="10" w16cid:durableId="1162742738">
    <w:abstractNumId w:val="20"/>
  </w:num>
  <w:num w:numId="11" w16cid:durableId="549266853">
    <w:abstractNumId w:val="5"/>
  </w:num>
  <w:num w:numId="12" w16cid:durableId="1270628413">
    <w:abstractNumId w:val="18"/>
  </w:num>
  <w:num w:numId="13" w16cid:durableId="305939791">
    <w:abstractNumId w:val="2"/>
  </w:num>
  <w:num w:numId="14" w16cid:durableId="779490553">
    <w:abstractNumId w:val="15"/>
  </w:num>
  <w:num w:numId="15" w16cid:durableId="1608926683">
    <w:abstractNumId w:val="4"/>
  </w:num>
  <w:num w:numId="16" w16cid:durableId="1869173600">
    <w:abstractNumId w:val="0"/>
  </w:num>
  <w:num w:numId="17" w16cid:durableId="2117940605">
    <w:abstractNumId w:val="3"/>
  </w:num>
  <w:num w:numId="18" w16cid:durableId="2088576273">
    <w:abstractNumId w:val="19"/>
  </w:num>
  <w:num w:numId="19" w16cid:durableId="1817338433">
    <w:abstractNumId w:val="9"/>
  </w:num>
  <w:num w:numId="20" w16cid:durableId="1074737914">
    <w:abstractNumId w:val="13"/>
  </w:num>
  <w:num w:numId="21" w16cid:durableId="133378647">
    <w:abstractNumId w:val="24"/>
  </w:num>
  <w:num w:numId="22" w16cid:durableId="349913776">
    <w:abstractNumId w:val="8"/>
  </w:num>
  <w:num w:numId="23" w16cid:durableId="1022320140">
    <w:abstractNumId w:val="23"/>
  </w:num>
  <w:num w:numId="24" w16cid:durableId="2105612661">
    <w:abstractNumId w:val="10"/>
  </w:num>
  <w:num w:numId="25" w16cid:durableId="809708094">
    <w:abstractNumId w:val="12"/>
  </w:num>
  <w:num w:numId="26" w16cid:durableId="5572531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savePreviewPicture/>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368"/>
    <w:rsid w:val="0008469A"/>
    <w:rsid w:val="0008712C"/>
    <w:rsid w:val="000F607C"/>
    <w:rsid w:val="00143D10"/>
    <w:rsid w:val="002521B4"/>
    <w:rsid w:val="002D2DAF"/>
    <w:rsid w:val="002E4233"/>
    <w:rsid w:val="002F4BD9"/>
    <w:rsid w:val="00312368"/>
    <w:rsid w:val="00330C7E"/>
    <w:rsid w:val="004A78F8"/>
    <w:rsid w:val="004F180F"/>
    <w:rsid w:val="005243FD"/>
    <w:rsid w:val="00634CB5"/>
    <w:rsid w:val="00757623"/>
    <w:rsid w:val="00820F18"/>
    <w:rsid w:val="008334C6"/>
    <w:rsid w:val="00884E8C"/>
    <w:rsid w:val="00913076"/>
    <w:rsid w:val="009234E3"/>
    <w:rsid w:val="009302C9"/>
    <w:rsid w:val="00961646"/>
    <w:rsid w:val="00980A1B"/>
    <w:rsid w:val="009A2E6C"/>
    <w:rsid w:val="009B0FE2"/>
    <w:rsid w:val="009F38DB"/>
    <w:rsid w:val="00A32D8C"/>
    <w:rsid w:val="00AD33C7"/>
    <w:rsid w:val="00AF172C"/>
    <w:rsid w:val="00B123A5"/>
    <w:rsid w:val="00B41D9B"/>
    <w:rsid w:val="00B84B3F"/>
    <w:rsid w:val="00BD328B"/>
    <w:rsid w:val="00BF7334"/>
    <w:rsid w:val="00C56AD9"/>
    <w:rsid w:val="00DE4664"/>
    <w:rsid w:val="00E17872"/>
    <w:rsid w:val="00EE7C70"/>
    <w:rsid w:val="00F33760"/>
    <w:rsid w:val="00FB2C3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5451F5"/>
  <w15:docId w15:val="{77D3C87A-D174-417A-BFC7-056A138A7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1">
    <w:name w:val="Body text|1_"/>
    <w:basedOn w:val="DefaultParagraphFont"/>
    <w:link w:val="Bodytext10"/>
    <w:rPr>
      <w:rFonts w:ascii="Liberation Sans" w:eastAsia="Liberation Sans" w:hAnsi="Liberation Sans" w:cs="Liberation Sans"/>
      <w:b w:val="0"/>
      <w:bCs w:val="0"/>
      <w:i w:val="0"/>
      <w:iCs w:val="0"/>
      <w:smallCaps w:val="0"/>
      <w:strike w:val="0"/>
      <w:sz w:val="18"/>
      <w:szCs w:val="18"/>
      <w:u w:val="none"/>
    </w:rPr>
  </w:style>
  <w:style w:type="character" w:customStyle="1" w:styleId="Picturecaption1">
    <w:name w:val="Picture caption|1_"/>
    <w:basedOn w:val="DefaultParagraphFont"/>
    <w:link w:val="Picturecaption10"/>
    <w:rPr>
      <w:rFonts w:ascii="Liberation Serif" w:eastAsia="Liberation Serif" w:hAnsi="Liberation Serif" w:cs="Liberation Serif"/>
      <w:b w:val="0"/>
      <w:bCs w:val="0"/>
      <w:i w:val="0"/>
      <w:iCs w:val="0"/>
      <w:smallCaps w:val="0"/>
      <w:strike w:val="0"/>
      <w:color w:val="EBEBEB"/>
      <w:sz w:val="18"/>
      <w:szCs w:val="18"/>
      <w:u w:val="none"/>
    </w:rPr>
  </w:style>
  <w:style w:type="character" w:customStyle="1" w:styleId="Other1">
    <w:name w:val="Other|1_"/>
    <w:basedOn w:val="DefaultParagraphFont"/>
    <w:link w:val="Other10"/>
    <w:rPr>
      <w:rFonts w:ascii="Liberation Sans" w:eastAsia="Liberation Sans" w:hAnsi="Liberation Sans" w:cs="Liberation Sans"/>
      <w:b w:val="0"/>
      <w:bCs w:val="0"/>
      <w:i w:val="0"/>
      <w:iCs w:val="0"/>
      <w:smallCaps w:val="0"/>
      <w:strike w:val="0"/>
      <w:sz w:val="18"/>
      <w:szCs w:val="18"/>
      <w:u w:val="none"/>
    </w:rPr>
  </w:style>
  <w:style w:type="character" w:customStyle="1" w:styleId="Bodytext3">
    <w:name w:val="Body text|3_"/>
    <w:basedOn w:val="DefaultParagraphFont"/>
    <w:link w:val="Bodytext30"/>
    <w:rPr>
      <w:rFonts w:ascii="Liberation Serif" w:eastAsia="Liberation Serif" w:hAnsi="Liberation Serif" w:cs="Liberation Serif"/>
      <w:b w:val="0"/>
      <w:bCs w:val="0"/>
      <w:i w:val="0"/>
      <w:iCs w:val="0"/>
      <w:smallCaps w:val="0"/>
      <w:strike w:val="0"/>
      <w:sz w:val="18"/>
      <w:szCs w:val="18"/>
      <w:u w:val="none"/>
    </w:rPr>
  </w:style>
  <w:style w:type="character" w:customStyle="1" w:styleId="Heading11">
    <w:name w:val="Heading #1|1_"/>
    <w:basedOn w:val="DefaultParagraphFont"/>
    <w:link w:val="Heading110"/>
    <w:rPr>
      <w:rFonts w:ascii="Liberation Sans" w:eastAsia="Liberation Sans" w:hAnsi="Liberation Sans" w:cs="Liberation Sans"/>
      <w:b w:val="0"/>
      <w:bCs w:val="0"/>
      <w:i w:val="0"/>
      <w:iCs w:val="0"/>
      <w:smallCaps w:val="0"/>
      <w:strike w:val="0"/>
      <w:color w:val="EBEBEB"/>
      <w:sz w:val="28"/>
      <w:szCs w:val="28"/>
      <w:u w:val="none"/>
    </w:rPr>
  </w:style>
  <w:style w:type="character" w:customStyle="1" w:styleId="Headerorfooter1">
    <w:name w:val="Header or footer|1_"/>
    <w:basedOn w:val="DefaultParagraphFont"/>
    <w:link w:val="Headerorfooter10"/>
    <w:rPr>
      <w:rFonts w:ascii="Liberation Sans" w:eastAsia="Liberation Sans" w:hAnsi="Liberation Sans" w:cs="Liberation Sans"/>
      <w:b w:val="0"/>
      <w:bCs w:val="0"/>
      <w:i/>
      <w:iCs/>
      <w:smallCaps w:val="0"/>
      <w:strike w:val="0"/>
      <w:color w:val="3D9383"/>
      <w:sz w:val="18"/>
      <w:szCs w:val="18"/>
      <w:u w:val="none"/>
    </w:rPr>
  </w:style>
  <w:style w:type="character" w:customStyle="1" w:styleId="Tablecaption1">
    <w:name w:val="Table caption|1_"/>
    <w:basedOn w:val="DefaultParagraphFont"/>
    <w:link w:val="Tablecaption10"/>
    <w:rPr>
      <w:rFonts w:ascii="Liberation Sans" w:eastAsia="Liberation Sans" w:hAnsi="Liberation Sans" w:cs="Liberation Sans"/>
      <w:b w:val="0"/>
      <w:bCs w:val="0"/>
      <w:i/>
      <w:iCs/>
      <w:smallCaps w:val="0"/>
      <w:strike w:val="0"/>
      <w:color w:val="6F7B8C"/>
      <w:sz w:val="15"/>
      <w:szCs w:val="15"/>
      <w:u w:val="none"/>
    </w:rPr>
  </w:style>
  <w:style w:type="character" w:customStyle="1" w:styleId="Bodytext4">
    <w:name w:val="Body text|4_"/>
    <w:basedOn w:val="DefaultParagraphFont"/>
    <w:link w:val="Bodytext40"/>
    <w:rPr>
      <w:rFonts w:ascii="Liberation Sans" w:eastAsia="Liberation Sans" w:hAnsi="Liberation Sans" w:cs="Liberation Sans"/>
      <w:b/>
      <w:bCs/>
      <w:i w:val="0"/>
      <w:iCs w:val="0"/>
      <w:smallCaps w:val="0"/>
      <w:strike w:val="0"/>
      <w:sz w:val="22"/>
      <w:szCs w:val="22"/>
      <w:u w:val="none"/>
    </w:rPr>
  </w:style>
  <w:style w:type="character" w:customStyle="1" w:styleId="Heading21">
    <w:name w:val="Heading #2|1_"/>
    <w:basedOn w:val="DefaultParagraphFont"/>
    <w:link w:val="Heading210"/>
    <w:rPr>
      <w:rFonts w:ascii="Liberation Sans" w:eastAsia="Liberation Sans" w:hAnsi="Liberation Sans" w:cs="Liberation Sans"/>
      <w:b/>
      <w:bCs/>
      <w:i w:val="0"/>
      <w:iCs w:val="0"/>
      <w:smallCaps w:val="0"/>
      <w:strike w:val="0"/>
      <w:sz w:val="26"/>
      <w:szCs w:val="26"/>
      <w:u w:val="none"/>
    </w:rPr>
  </w:style>
  <w:style w:type="character" w:customStyle="1" w:styleId="Bodytext2">
    <w:name w:val="Body text|2_"/>
    <w:basedOn w:val="DefaultParagraphFont"/>
    <w:link w:val="Bodytext20"/>
    <w:rPr>
      <w:rFonts w:ascii="Liberation Sans" w:eastAsia="Liberation Sans" w:hAnsi="Liberation Sans" w:cs="Liberation Sans"/>
      <w:b/>
      <w:bCs/>
      <w:i w:val="0"/>
      <w:iCs w:val="0"/>
      <w:smallCaps w:val="0"/>
      <w:strike w:val="0"/>
      <w:color w:val="4A7770"/>
      <w:sz w:val="12"/>
      <w:szCs w:val="12"/>
      <w:u w:val="none"/>
      <w:shd w:val="clear" w:color="auto" w:fill="8DCEC7"/>
    </w:rPr>
  </w:style>
  <w:style w:type="paragraph" w:customStyle="1" w:styleId="Bodytext10">
    <w:name w:val="Body text|1"/>
    <w:basedOn w:val="Normal"/>
    <w:link w:val="Bodytext1"/>
    <w:pPr>
      <w:spacing w:after="180" w:line="334" w:lineRule="auto"/>
    </w:pPr>
    <w:rPr>
      <w:rFonts w:ascii="Liberation Sans" w:eastAsia="Liberation Sans" w:hAnsi="Liberation Sans" w:cs="Liberation Sans"/>
      <w:sz w:val="18"/>
      <w:szCs w:val="18"/>
    </w:rPr>
  </w:style>
  <w:style w:type="paragraph" w:customStyle="1" w:styleId="Picturecaption10">
    <w:name w:val="Picture caption|1"/>
    <w:basedOn w:val="Normal"/>
    <w:link w:val="Picturecaption1"/>
    <w:rPr>
      <w:rFonts w:ascii="Liberation Serif" w:eastAsia="Liberation Serif" w:hAnsi="Liberation Serif" w:cs="Liberation Serif"/>
      <w:color w:val="EBEBEB"/>
      <w:sz w:val="18"/>
      <w:szCs w:val="18"/>
    </w:rPr>
  </w:style>
  <w:style w:type="paragraph" w:customStyle="1" w:styleId="Other10">
    <w:name w:val="Other|1"/>
    <w:basedOn w:val="Normal"/>
    <w:link w:val="Other1"/>
    <w:pPr>
      <w:spacing w:after="180" w:line="334" w:lineRule="auto"/>
    </w:pPr>
    <w:rPr>
      <w:rFonts w:ascii="Liberation Sans" w:eastAsia="Liberation Sans" w:hAnsi="Liberation Sans" w:cs="Liberation Sans"/>
      <w:sz w:val="18"/>
      <w:szCs w:val="18"/>
    </w:rPr>
  </w:style>
  <w:style w:type="paragraph" w:customStyle="1" w:styleId="Bodytext30">
    <w:name w:val="Body text|3"/>
    <w:basedOn w:val="Normal"/>
    <w:link w:val="Bodytext3"/>
    <w:pPr>
      <w:spacing w:line="259" w:lineRule="auto"/>
    </w:pPr>
    <w:rPr>
      <w:rFonts w:ascii="Liberation Serif" w:eastAsia="Liberation Serif" w:hAnsi="Liberation Serif" w:cs="Liberation Serif"/>
      <w:sz w:val="18"/>
      <w:szCs w:val="18"/>
    </w:rPr>
  </w:style>
  <w:style w:type="paragraph" w:customStyle="1" w:styleId="Heading110">
    <w:name w:val="Heading #1|1"/>
    <w:basedOn w:val="Normal"/>
    <w:link w:val="Heading11"/>
    <w:pPr>
      <w:jc w:val="right"/>
      <w:outlineLvl w:val="0"/>
    </w:pPr>
    <w:rPr>
      <w:rFonts w:ascii="Liberation Sans" w:eastAsia="Liberation Sans" w:hAnsi="Liberation Sans" w:cs="Liberation Sans"/>
      <w:color w:val="EBEBEB"/>
      <w:sz w:val="28"/>
      <w:szCs w:val="28"/>
    </w:rPr>
  </w:style>
  <w:style w:type="paragraph" w:customStyle="1" w:styleId="Headerorfooter10">
    <w:name w:val="Header or footer|1"/>
    <w:basedOn w:val="Normal"/>
    <w:link w:val="Headerorfooter1"/>
    <w:pPr>
      <w:jc w:val="right"/>
    </w:pPr>
    <w:rPr>
      <w:rFonts w:ascii="Liberation Sans" w:eastAsia="Liberation Sans" w:hAnsi="Liberation Sans" w:cs="Liberation Sans"/>
      <w:i/>
      <w:iCs/>
      <w:color w:val="3D9383"/>
      <w:sz w:val="18"/>
      <w:szCs w:val="18"/>
    </w:rPr>
  </w:style>
  <w:style w:type="paragraph" w:customStyle="1" w:styleId="Tablecaption10">
    <w:name w:val="Table caption|1"/>
    <w:basedOn w:val="Normal"/>
    <w:link w:val="Tablecaption1"/>
    <w:rPr>
      <w:rFonts w:ascii="Liberation Sans" w:eastAsia="Liberation Sans" w:hAnsi="Liberation Sans" w:cs="Liberation Sans"/>
      <w:i/>
      <w:iCs/>
      <w:color w:val="6F7B8C"/>
      <w:sz w:val="15"/>
      <w:szCs w:val="15"/>
    </w:rPr>
  </w:style>
  <w:style w:type="paragraph" w:customStyle="1" w:styleId="Bodytext40">
    <w:name w:val="Body text|4"/>
    <w:basedOn w:val="Normal"/>
    <w:link w:val="Bodytext4"/>
    <w:pPr>
      <w:spacing w:after="200"/>
      <w:ind w:firstLine="150"/>
    </w:pPr>
    <w:rPr>
      <w:rFonts w:ascii="Liberation Sans" w:eastAsia="Liberation Sans" w:hAnsi="Liberation Sans" w:cs="Liberation Sans"/>
      <w:b/>
      <w:bCs/>
      <w:sz w:val="22"/>
      <w:szCs w:val="22"/>
    </w:rPr>
  </w:style>
  <w:style w:type="paragraph" w:customStyle="1" w:styleId="Heading210">
    <w:name w:val="Heading #2|1"/>
    <w:basedOn w:val="Normal"/>
    <w:link w:val="Heading21"/>
    <w:pPr>
      <w:spacing w:after="60"/>
      <w:jc w:val="center"/>
      <w:outlineLvl w:val="1"/>
    </w:pPr>
    <w:rPr>
      <w:rFonts w:ascii="Liberation Sans" w:eastAsia="Liberation Sans" w:hAnsi="Liberation Sans" w:cs="Liberation Sans"/>
      <w:b/>
      <w:bCs/>
      <w:sz w:val="26"/>
      <w:szCs w:val="26"/>
    </w:rPr>
  </w:style>
  <w:style w:type="paragraph" w:customStyle="1" w:styleId="Bodytext20">
    <w:name w:val="Body text|2"/>
    <w:basedOn w:val="Normal"/>
    <w:link w:val="Bodytext2"/>
    <w:pPr>
      <w:spacing w:line="271" w:lineRule="auto"/>
    </w:pPr>
    <w:rPr>
      <w:rFonts w:ascii="Liberation Sans" w:eastAsia="Liberation Sans" w:hAnsi="Liberation Sans" w:cs="Liberation Sans"/>
      <w:b/>
      <w:bCs/>
      <w:color w:val="4A7770"/>
      <w:sz w:val="12"/>
      <w:szCs w:val="12"/>
      <w:shd w:val="clear" w:color="auto" w:fill="8DCEC7"/>
    </w:rPr>
  </w:style>
  <w:style w:type="character" w:styleId="CommentReference">
    <w:name w:val="annotation reference"/>
    <w:basedOn w:val="DefaultParagraphFont"/>
    <w:uiPriority w:val="99"/>
    <w:semiHidden/>
    <w:unhideWhenUsed/>
    <w:rsid w:val="009234E3"/>
    <w:rPr>
      <w:sz w:val="16"/>
      <w:szCs w:val="16"/>
    </w:rPr>
  </w:style>
  <w:style w:type="paragraph" w:styleId="CommentText">
    <w:name w:val="annotation text"/>
    <w:basedOn w:val="Normal"/>
    <w:link w:val="CommentTextChar"/>
    <w:uiPriority w:val="99"/>
    <w:unhideWhenUsed/>
    <w:rsid w:val="009234E3"/>
    <w:rPr>
      <w:sz w:val="20"/>
      <w:szCs w:val="20"/>
    </w:rPr>
  </w:style>
  <w:style w:type="character" w:customStyle="1" w:styleId="CommentTextChar">
    <w:name w:val="Comment Text Char"/>
    <w:basedOn w:val="DefaultParagraphFont"/>
    <w:link w:val="CommentText"/>
    <w:uiPriority w:val="99"/>
    <w:rsid w:val="009234E3"/>
    <w:rPr>
      <w:color w:val="000000"/>
      <w:sz w:val="20"/>
      <w:szCs w:val="20"/>
    </w:rPr>
  </w:style>
  <w:style w:type="paragraph" w:styleId="CommentSubject">
    <w:name w:val="annotation subject"/>
    <w:basedOn w:val="CommentText"/>
    <w:next w:val="CommentText"/>
    <w:link w:val="CommentSubjectChar"/>
    <w:uiPriority w:val="99"/>
    <w:semiHidden/>
    <w:unhideWhenUsed/>
    <w:rsid w:val="009234E3"/>
    <w:rPr>
      <w:b/>
      <w:bCs/>
    </w:rPr>
  </w:style>
  <w:style w:type="character" w:customStyle="1" w:styleId="CommentSubjectChar">
    <w:name w:val="Comment Subject Char"/>
    <w:basedOn w:val="CommentTextChar"/>
    <w:link w:val="CommentSubject"/>
    <w:uiPriority w:val="99"/>
    <w:semiHidden/>
    <w:rsid w:val="009234E3"/>
    <w:rPr>
      <w:b/>
      <w:bCs/>
      <w:color w:val="000000"/>
      <w:sz w:val="20"/>
      <w:szCs w:val="20"/>
    </w:rPr>
  </w:style>
  <w:style w:type="paragraph" w:styleId="Header">
    <w:name w:val="header"/>
    <w:basedOn w:val="Normal"/>
    <w:link w:val="HeaderChar"/>
    <w:unhideWhenUsed/>
    <w:rsid w:val="00C56AD9"/>
    <w:pPr>
      <w:tabs>
        <w:tab w:val="center" w:pos="4513"/>
        <w:tab w:val="right" w:pos="9026"/>
      </w:tabs>
    </w:pPr>
  </w:style>
  <w:style w:type="character" w:customStyle="1" w:styleId="HeaderChar">
    <w:name w:val="Header Char"/>
    <w:basedOn w:val="DefaultParagraphFont"/>
    <w:link w:val="Header"/>
    <w:uiPriority w:val="99"/>
    <w:rsid w:val="00C56AD9"/>
    <w:rPr>
      <w:color w:val="000000"/>
    </w:rPr>
  </w:style>
  <w:style w:type="paragraph" w:styleId="Footer">
    <w:name w:val="footer"/>
    <w:basedOn w:val="Normal"/>
    <w:link w:val="FooterChar"/>
    <w:uiPriority w:val="99"/>
    <w:unhideWhenUsed/>
    <w:rsid w:val="00C56AD9"/>
    <w:pPr>
      <w:tabs>
        <w:tab w:val="center" w:pos="4513"/>
        <w:tab w:val="right" w:pos="9026"/>
      </w:tabs>
    </w:pPr>
  </w:style>
  <w:style w:type="character" w:customStyle="1" w:styleId="FooterChar">
    <w:name w:val="Footer Char"/>
    <w:basedOn w:val="DefaultParagraphFont"/>
    <w:link w:val="Footer"/>
    <w:uiPriority w:val="99"/>
    <w:rsid w:val="00C56AD9"/>
    <w:rPr>
      <w:color w:val="000000"/>
    </w:rPr>
  </w:style>
  <w:style w:type="paragraph" w:styleId="Revision">
    <w:name w:val="Revision"/>
    <w:hidden/>
    <w:uiPriority w:val="99"/>
    <w:semiHidden/>
    <w:rsid w:val="00884E8C"/>
    <w:pPr>
      <w:widowControl/>
    </w:pPr>
    <w:rPr>
      <w:color w:val="000000"/>
    </w:rPr>
  </w:style>
  <w:style w:type="paragraph" w:customStyle="1" w:styleId="Paragraphedeliste1">
    <w:name w:val="Paragraphe de liste1"/>
    <w:basedOn w:val="Normal"/>
    <w:rsid w:val="009F38DB"/>
    <w:pPr>
      <w:widowControl/>
      <w:spacing w:after="200" w:line="276" w:lineRule="auto"/>
      <w:ind w:left="720"/>
      <w:contextualSpacing/>
    </w:pPr>
    <w:rPr>
      <w:rFonts w:ascii="Calibri" w:hAnsi="Calibri"/>
      <w:color w:val="auto"/>
      <w:sz w:val="22"/>
      <w:szCs w:val="22"/>
      <w:lang w:val="fr-FR" w:bidi="ar-SA"/>
    </w:rPr>
  </w:style>
  <w:style w:type="paragraph" w:styleId="ListParagraph">
    <w:name w:val="List Paragraph"/>
    <w:basedOn w:val="Normal"/>
    <w:uiPriority w:val="34"/>
    <w:qFormat/>
    <w:rsid w:val="002F4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who.int/malaria/publications/atoz/9789241504737/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3595</Words>
  <Characters>20493</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SMC</vt:lpstr>
    </vt:vector>
  </TitlesOfParts>
  <Company/>
  <LinksUpToDate>false</LinksUpToDate>
  <CharactersWithSpaces>24040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SMC</dc:title>
  <dc:subject/>
  <dc:creator>Albertino Zunza</dc:creator>
  <cp:keywords/>
  <cp:lastModifiedBy>Andrew Mtaia</cp:lastModifiedBy>
  <cp:revision>2</cp:revision>
  <dcterms:created xsi:type="dcterms:W3CDTF">2024-04-03T18:23:00Z</dcterms:created>
  <dcterms:modified xsi:type="dcterms:W3CDTF">2024-04-03T18:23:00Z</dcterms:modified>
</cp:coreProperties>
</file>